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u w:val="none"/>
          <w:lang w:eastAsia="zh-CN"/>
        </w:rPr>
      </w:pPr>
    </w:p>
    <w:p>
      <w:pPr>
        <w:rPr>
          <w:rFonts w:hint="eastAsia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pict>
          <v:shape id="_x0000_i1025" o:spt="136" type="#_x0000_t136" style="height:44.9pt;width:424.1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鹤岗市新型冠状病毒感染的肺炎&#10;" style="font-family:方正小标宋简体;font-size:28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eastAsia="宋体"/>
          <w:kern w:val="2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u w:val="none"/>
          <w:lang w:eastAsia="zh-CN"/>
        </w:rPr>
        <w:pict>
          <v:shape id="_x0000_i1026" o:spt="136" type="#_x0000_t136" style="height:41.55pt;width:424.1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疫情防控领导小组指挥部文件" style="font-family:方正小标宋简体;font-size:28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鹤疫防指发〔2020〕7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93345</wp:posOffset>
                </wp:positionV>
                <wp:extent cx="5594985" cy="1143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985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9pt;margin-top:7.35pt;height:0.9pt;width:440.55pt;z-index:251659264;mso-width-relative:page;mso-height-relative:page;" filled="f" stroked="t" coordsize="21600,21600" o:gfxdata="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L7PAtkAAAAJAQAADwAAAAAAAAABACAAAAAiAAAAZHJzL2Rvd25yZXYueG1sUEsBAhQAFAAAAAgA&#10;h07iQJ/QRunrAQAApQMAAA4AAAAAAAAAAQAgAAAAKAEAAGRycy9lMm9Eb2MueG1sUEsFBgAAAAAG&#10;AAYAWQEAAIU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鹤岗市新型冠状病毒感染的肺炎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疫情防控领导小组指挥部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</w:rPr>
        <w:t>印发关于党员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</w:rPr>
        <w:t>干部在网络空间公开发表有关疫情内容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黑体" w:cs="Arial"/>
          <w:b/>
          <w:bCs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</w:rPr>
        <w:t>信息行为规范的意见的通知</w:t>
      </w:r>
    </w:p>
    <w:p>
      <w:pPr>
        <w:widowControl/>
        <w:shd w:val="clear" w:color="auto" w:fill="FFFFFF"/>
        <w:spacing w:line="480" w:lineRule="auto"/>
        <w:rPr>
          <w:rFonts w:hint="eastAsia" w:ascii="仿宋" w:hAnsi="仿宋" w:eastAsia="仿宋" w:cs="Arial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auto"/>
          <w:spacing w:val="8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480" w:lineRule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各县、区，市直各单位，驻鹤各单位：</w:t>
      </w:r>
    </w:p>
    <w:p>
      <w:pPr>
        <w:widowControl/>
        <w:shd w:val="clear" w:color="auto" w:fill="FFFFFF"/>
        <w:spacing w:line="480" w:lineRule="auto"/>
        <w:ind w:firstLine="672" w:firstLineChars="200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当前，在新型冠状病毒感染的肺炎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疫情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防控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严峻斗争中，各级党员干部必须牢记人民利益高于一切，不忘初心、牢记使命，坚决贯彻落实党中央决策部署，在省、市新型冠状病毒感染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肺炎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疫情防控领导小组及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指挥部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正确领导下，带头在网络空间弘扬主旋律、传播正能量，让党旗在第一线高高飘扬，让党的声音成为网络空间最强音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为切实规范党员干部在网络空间公开发表疫情信息的行为，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经市新型冠状病毒感染的肺炎疫情防控领导小组指挥部研究，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特制定本意见，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现印发给你们，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请认真贯彻执行。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480" w:lineRule="auto"/>
        <w:ind w:firstLine="672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鹤岗市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新型冠状病毒感染的肺炎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领导小组指挥部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</w:p>
    <w:p>
      <w:pPr>
        <w:widowControl/>
        <w:shd w:val="clear" w:color="auto" w:fill="FFFFFF"/>
        <w:spacing w:line="480" w:lineRule="auto"/>
        <w:ind w:firstLine="4563" w:firstLineChars="1426"/>
        <w:rPr>
          <w:rFonts w:hint="eastAsia" w:ascii="仿宋" w:hAnsi="仿宋" w:eastAsia="仿宋" w:cs="Arial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2020年1月28日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Arial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auto"/>
          <w:spacing w:val="8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ˎ̥" w:hAnsi="ˎ̥" w:eastAsia="黑体" w:cs="宋体"/>
          <w:b/>
          <w:bCs/>
          <w:color w:val="auto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关于党员干部在网络空间公开发表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ˎ̥" w:hAnsi="ˎ̥" w:eastAsia="华文宋体" w:cs="华文宋体"/>
          <w:b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有关疫情内容信息行为规范的意见</w:t>
      </w:r>
    </w:p>
    <w:p>
      <w:pPr>
        <w:widowControl/>
        <w:shd w:val="clear" w:color="auto" w:fill="FFFFFF"/>
        <w:spacing w:line="480" w:lineRule="auto"/>
        <w:ind w:firstLine="480"/>
        <w:rPr>
          <w:rFonts w:ascii="ˎ̥" w:hAnsi="ˎ̥" w:eastAsia="黑体" w:cs="宋体"/>
          <w:color w:val="auto"/>
          <w:kern w:val="0"/>
          <w:sz w:val="24"/>
          <w:szCs w:val="24"/>
        </w:rPr>
      </w:pPr>
      <w:r>
        <w:rPr>
          <w:rFonts w:ascii="ˎ̥" w:hAnsi="ˎ̥" w:eastAsia="黑体" w:cs="宋体"/>
          <w:color w:val="auto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网络行为是党员干部言行的重要组成部分。党员干部在新型冠状病毒感染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肺炎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工作期间，要发挥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模范带头作用，严格遵守相关法律法规，规范网络行为，为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防控工作营造良好的网络舆论环境。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一、党员干部要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高度站位，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严守政治纪律和政治规矩，牢固树立“四个”意识，坚决维护党中央权威，在思想上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政治上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行动上始终同以习近平同志为核心的党中央保持高度一致，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省、市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领导小组及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指挥部安排部署的网上重大宣传、重大思想舆论斗争、重要舆论引导工作、重大专项行动任务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坚决贯彻执行，并发挥党员先锋模范作用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二、党员干部要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起到带头作用，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积极关注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转发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官方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新闻媒体、各级政府、各级卫生健康委员会，以及各级疾控和医疗机构发布的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权威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官方信息，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带头引导舆论、解疑释惑、回应关切，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正确解读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有关政策措施，科学宣传疫情防护知识，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让更多网民第一时间了解疫情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防控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情况，了解市委、市政府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在疫情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防控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工作中的重要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措施，提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高广大市民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对疫情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防范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思想意识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避免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恐慌，引领广大人民群众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坚定信心、同舟共济、众志成城、科学防治，共同打赢这场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疫情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防控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工作战役。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三、党员干部要坚决抵制一切违法违规、不良和有害网络信息，自觉做到不造谣、不信谣、不传谣，自觉抵制、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反驳错误言论，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同时，要带动身边的人，一同抵制。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严禁在网站、微信、贴吧、论坛等各类社交媒体或自媒体平台上发表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及转发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有关疫情内容的非官方发布信息，严禁散布谣言、谎报疫情，严禁以“听说”“网传”类谣言信息刺激公众恐慌情绪。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、党员干部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履行举报监督义务，发现有在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网络、微信、微博等途径上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发表有关疫情的违法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违规信息和不良有害信息行为时，要及时向网信、网安、通讯部门和各类网络平台进行举报，积极提供线索，协助相关方面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五、党员干部以防控疫情内容在微博、微信、网络直播、论坛社区等网络平台注册账号、建立群组的，应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向网信、网安部门备案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，主动接受监督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各单位要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对在开展疫情防控的网络活动中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以身作则、表现突出的党员干部，要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加强指导，并予以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充分肯定、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鼓励；对坚持正确立场、传播正能量而遭到围攻的党员干部，要旗帜鲜明地给予保护和支持。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市疫情防控领导小组指挥部将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对重大网络宣传、舆论引导和专项斗争工作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组织贯彻、执行落实不力、造成严重后果的；未与错误观点、错误倾向开展有力斗争，出现重大失误、产生恶劣影响的；对传播疫情谣言、虚假信息、不实信息造成严重后果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等情形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，依据党纪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党规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和国家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相关法律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法规进行严肃处置。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auto"/>
          <w:sz w:val="28"/>
          <w:szCs w:val="28"/>
          <w:lang w:val="en-US" w:eastAsia="zh-CN"/>
        </w:rPr>
        <w:t xml:space="preserve">  </w:t>
      </w:r>
    </w:p>
    <w:p>
      <w:pPr>
        <w:wordWrap/>
        <w:jc w:val="both"/>
      </w:pPr>
      <w:r>
        <w:rPr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414020</wp:posOffset>
                </wp:positionV>
                <wp:extent cx="5363210" cy="1905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0" cy="19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3" o:spid="_x0000_s1026" o:spt="32" type="#_x0000_t32" style="position:absolute;left:0pt;margin-left:3.6pt;margin-top:32.6pt;height:0.15pt;width:422.3pt;z-index:251661312;mso-width-relative:page;mso-height-relative:page;" filled="f" stroked="t" coordsize="21600,21600" o:gfxdata="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OQEsrTAAAABwEAAA8AAAAAAAAAAQAgAAAAIgAA&#10;AGRycy9kb3ducmV2LnhtbFBLAQIUABQAAAAIAIdO4kBjr7fa1AEAAJ0DAAAOAAAAAAAAAAEAIAAA&#10;ACI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6350</wp:posOffset>
                </wp:positionV>
                <wp:extent cx="5365750" cy="13335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750" cy="13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4" o:spid="_x0000_s1026" o:spt="32" type="#_x0000_t32" style="position:absolute;left:0pt;flip:y;margin-left:4.15pt;margin-top:0.5pt;height:1.05pt;width:422.5pt;z-index:251660288;mso-width-relative:page;mso-height-relative:page;" filled="f" stroked="t" coordsize="21600,21600" o:gfxdata="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+iKufUAAAABQEAAA8AAAAAAAAA&#10;AQAgAAAAIgAAAGRycy9kb3ducmV2LnhtbFBLAQIUABQAAAAIAIdO4kAfcG113AEAAKcDAAAOAAAA&#10;AAAAAAEAIAAAACMBAABkcnMvZTJvRG9jLnhtbFBLBQYAAAAABgAGAFkBAABx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bCs/>
          <w:color w:val="auto"/>
          <w:spacing w:val="-4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bCs/>
          <w:color w:val="auto"/>
          <w:spacing w:val="-28"/>
          <w:sz w:val="28"/>
          <w:szCs w:val="28"/>
          <w:lang w:val="en-US" w:eastAsia="zh-CN"/>
        </w:rPr>
        <w:t>鹤岗市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</w:rPr>
        <w:t>新型冠状病毒感染的肺炎疫情防控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  <w:t>领导小组指挥部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bCs/>
          <w:color w:val="auto"/>
          <w:spacing w:val="-28"/>
          <w:sz w:val="28"/>
          <w:szCs w:val="28"/>
          <w:lang w:val="en-US" w:eastAsia="zh-CN"/>
        </w:rPr>
        <w:t xml:space="preserve"> 2020年1月29日印发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72D59"/>
    <w:rsid w:val="04735C59"/>
    <w:rsid w:val="3E2209A7"/>
    <w:rsid w:val="7A6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2020-01-29T06:23:00Z</dcterms:created>
  <dc:creator>文电科</dc:creator>
  <cp:lastModifiedBy>～Guan( ･ิϖ･ิ)っ</cp:lastModifiedBy>
  <dcterms:modified xsi:type="dcterms:W3CDTF">2020-02-13T00:46:20Z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