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鹤岗市东山区</w:t>
      </w:r>
    </w:p>
    <w:p>
      <w:pPr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年财政总决算相关情况说明</w:t>
      </w:r>
    </w:p>
    <w:p>
      <w:pPr>
        <w:rPr>
          <w:rFonts w:ascii="宋体"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第一部分</w:t>
      </w:r>
    </w:p>
    <w:p>
      <w:pPr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东山区财政局主要职责</w:t>
      </w:r>
    </w:p>
    <w:p>
      <w:pPr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>
      <w:pPr>
        <w:ind w:left="105" w:leftChars="50" w:firstLine="640" w:firstLineChars="200"/>
        <w:jc w:val="left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（一）贯彻执行国家财政、税收的方针、政策、法规。贯彻执行《会计法》、《企业会计准则》、行政、事业单位及分行业的会计制度；管理和指导全区会计和审计工作。</w:t>
      </w:r>
    </w:p>
    <w:p>
      <w:pPr>
        <w:ind w:left="105" w:leftChars="50" w:firstLine="640" w:firstLineChars="200"/>
        <w:jc w:val="left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（二）编制全区年度预算草案并组织预算执行；汇总全区年度决算；受区政府委托，向区人民代表大会报告全区年度预算及执行情况；向区人大常委会报告决算情况；管理全区各项财政收入。</w:t>
      </w:r>
    </w:p>
    <w:p>
      <w:pPr>
        <w:ind w:left="105" w:leftChars="50" w:firstLine="640" w:firstLineChars="200"/>
        <w:jc w:val="left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（三）监督各乡镇和区属各部门的财务收支活动；监督检查财政税收政策、法律、法规和制度的执行情况；检查反映财政收支管理中的重大问题；对违反财经纪律的事进行检查和处理；提出加强财政管理的政策建议；指导和管理全区罚没工作。</w:t>
      </w:r>
    </w:p>
    <w:p>
      <w:pPr>
        <w:ind w:left="105" w:leftChars="50" w:firstLine="640" w:firstLineChars="200"/>
        <w:jc w:val="left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（四）完成区委、区政府交办的其它工作。</w:t>
      </w:r>
    </w:p>
    <w:p>
      <w:pPr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>
      <w:pPr>
        <w:rPr>
          <w:rFonts w:cs="Times New Roman"/>
          <w:b/>
          <w:bCs/>
          <w:color w:val="000000"/>
          <w:sz w:val="44"/>
          <w:szCs w:val="44"/>
        </w:rPr>
      </w:pPr>
    </w:p>
    <w:p>
      <w:pPr>
        <w:rPr>
          <w:rFonts w:cs="Times New Roman"/>
          <w:b/>
          <w:bCs/>
          <w:color w:val="000000"/>
          <w:sz w:val="44"/>
          <w:szCs w:val="44"/>
        </w:rPr>
      </w:pPr>
    </w:p>
    <w:p>
      <w:pPr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 w:cs="宋体"/>
          <w:b/>
          <w:bCs/>
          <w:color w:val="000000"/>
          <w:sz w:val="44"/>
          <w:szCs w:val="44"/>
        </w:rPr>
        <w:t>第二部分</w:t>
      </w:r>
    </w:p>
    <w:p>
      <w:pPr>
        <w:jc w:val="center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cs="宋体"/>
          <w:b/>
          <w:bCs/>
          <w:color w:val="000000"/>
          <w:sz w:val="44"/>
          <w:szCs w:val="44"/>
        </w:rPr>
        <w:t>年转移支付决算情况</w:t>
      </w:r>
    </w:p>
    <w:p>
      <w:pPr>
        <w:ind w:firstLine="640" w:firstLineChars="200"/>
        <w:jc w:val="left"/>
        <w:rPr>
          <w:rFonts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cs="Times New Roman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2021</w:t>
      </w:r>
      <w:r>
        <w:rPr>
          <w:rFonts w:hint="eastAsia" w:cs="宋体"/>
          <w:color w:val="auto"/>
          <w:sz w:val="32"/>
          <w:szCs w:val="32"/>
        </w:rPr>
        <w:t>年财政总决算中转移支付收入</w:t>
      </w:r>
      <w:r>
        <w:rPr>
          <w:rFonts w:hint="eastAsia"/>
          <w:color w:val="auto"/>
          <w:sz w:val="32"/>
          <w:szCs w:val="32"/>
          <w:lang w:val="en-US" w:eastAsia="zh-CN"/>
        </w:rPr>
        <w:t>37,694</w:t>
      </w:r>
      <w:r>
        <w:rPr>
          <w:rFonts w:hint="eastAsia" w:cs="宋体"/>
          <w:color w:val="auto"/>
          <w:sz w:val="32"/>
          <w:szCs w:val="32"/>
        </w:rPr>
        <w:t>万元，其中：返还性收入</w:t>
      </w:r>
      <w:r>
        <w:rPr>
          <w:color w:val="auto"/>
          <w:sz w:val="32"/>
          <w:szCs w:val="32"/>
        </w:rPr>
        <w:t>1,617</w:t>
      </w:r>
      <w:r>
        <w:rPr>
          <w:rFonts w:hint="eastAsia" w:cs="宋体"/>
          <w:color w:val="auto"/>
          <w:sz w:val="32"/>
          <w:szCs w:val="32"/>
        </w:rPr>
        <w:t>万元、一般性转移支付收入</w:t>
      </w:r>
      <w:r>
        <w:rPr>
          <w:rFonts w:hint="eastAsia" w:cs="宋体"/>
          <w:color w:val="auto"/>
          <w:sz w:val="32"/>
          <w:szCs w:val="32"/>
          <w:lang w:val="en-US" w:eastAsia="zh-CN"/>
        </w:rPr>
        <w:t>33</w:t>
      </w:r>
      <w:r>
        <w:rPr>
          <w:rFonts w:hint="eastAsia"/>
          <w:color w:val="auto"/>
          <w:sz w:val="32"/>
          <w:szCs w:val="32"/>
        </w:rPr>
        <w:t>,</w:t>
      </w:r>
      <w:r>
        <w:rPr>
          <w:rFonts w:hint="eastAsia"/>
          <w:color w:val="auto"/>
          <w:sz w:val="32"/>
          <w:szCs w:val="32"/>
          <w:lang w:val="en-US" w:eastAsia="zh-CN"/>
        </w:rPr>
        <w:t>583</w:t>
      </w:r>
      <w:r>
        <w:rPr>
          <w:rFonts w:hint="eastAsia" w:cs="宋体"/>
          <w:color w:val="auto"/>
          <w:sz w:val="32"/>
          <w:szCs w:val="32"/>
        </w:rPr>
        <w:t>万元、专项转移支付收入</w:t>
      </w:r>
      <w:r>
        <w:rPr>
          <w:rFonts w:hint="eastAsia"/>
          <w:color w:val="auto"/>
          <w:sz w:val="32"/>
          <w:szCs w:val="32"/>
          <w:lang w:val="en-US" w:eastAsia="zh-CN"/>
        </w:rPr>
        <w:t>61</w:t>
      </w:r>
      <w:r>
        <w:rPr>
          <w:rFonts w:hint="eastAsia" w:cs="宋体"/>
          <w:color w:val="auto"/>
          <w:sz w:val="32"/>
          <w:szCs w:val="32"/>
        </w:rPr>
        <w:t>万元</w:t>
      </w:r>
      <w:r>
        <w:rPr>
          <w:rFonts w:hint="eastAsia" w:cs="宋体"/>
          <w:color w:val="auto"/>
          <w:sz w:val="32"/>
          <w:szCs w:val="32"/>
          <w:lang w:eastAsia="zh-CN"/>
        </w:rPr>
        <w:t>、债务转贷收入</w:t>
      </w:r>
      <w:r>
        <w:rPr>
          <w:rFonts w:hint="eastAsia" w:cs="宋体"/>
          <w:color w:val="auto"/>
          <w:sz w:val="32"/>
          <w:szCs w:val="32"/>
          <w:lang w:val="en-US" w:eastAsia="zh-CN"/>
        </w:rPr>
        <w:t>2433万元</w:t>
      </w:r>
      <w:r>
        <w:rPr>
          <w:rFonts w:hint="eastAsia" w:cs="宋体"/>
          <w:color w:val="auto"/>
          <w:sz w:val="32"/>
          <w:szCs w:val="32"/>
        </w:rPr>
        <w:t>。主要用于</w:t>
      </w:r>
      <w:r>
        <w:rPr>
          <w:rFonts w:hint="eastAsia" w:cs="宋体"/>
          <w:color w:val="auto"/>
          <w:sz w:val="32"/>
          <w:szCs w:val="32"/>
          <w:lang w:eastAsia="zh-CN"/>
        </w:rPr>
        <w:t>三保相关支出</w:t>
      </w:r>
      <w:r>
        <w:rPr>
          <w:rFonts w:hint="eastAsia" w:cs="宋体"/>
          <w:color w:val="auto"/>
          <w:sz w:val="32"/>
          <w:szCs w:val="32"/>
        </w:rPr>
        <w:t>。</w:t>
      </w:r>
    </w:p>
    <w:p>
      <w:pPr>
        <w:ind w:firstLine="640" w:firstLineChars="200"/>
        <w:jc w:val="left"/>
        <w:rPr>
          <w:rFonts w:cs="Times New Roman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2021</w:t>
      </w:r>
      <w:r>
        <w:rPr>
          <w:rFonts w:hint="eastAsia" w:cs="宋体"/>
          <w:color w:val="auto"/>
          <w:sz w:val="32"/>
          <w:szCs w:val="32"/>
        </w:rPr>
        <w:t>年财政总决算中转移支付支出</w:t>
      </w:r>
      <w:r>
        <w:rPr>
          <w:rFonts w:hint="eastAsia"/>
          <w:color w:val="auto"/>
          <w:sz w:val="32"/>
          <w:szCs w:val="32"/>
          <w:lang w:val="en-US" w:eastAsia="zh-CN"/>
        </w:rPr>
        <w:t>1,683</w:t>
      </w:r>
      <w:r>
        <w:rPr>
          <w:rFonts w:hint="eastAsia" w:cs="宋体"/>
          <w:color w:val="auto"/>
          <w:sz w:val="32"/>
          <w:szCs w:val="32"/>
        </w:rPr>
        <w:t>万元，其中：体制上解支出</w:t>
      </w:r>
      <w:r>
        <w:rPr>
          <w:rFonts w:hint="eastAsia"/>
          <w:color w:val="auto"/>
          <w:sz w:val="32"/>
          <w:szCs w:val="32"/>
          <w:lang w:val="en-US" w:eastAsia="zh-CN"/>
        </w:rPr>
        <w:t>91</w:t>
      </w:r>
      <w:r>
        <w:rPr>
          <w:rFonts w:hint="eastAsia" w:cs="宋体"/>
          <w:color w:val="auto"/>
          <w:sz w:val="32"/>
          <w:szCs w:val="32"/>
        </w:rPr>
        <w:t>万元、专项上解支出</w:t>
      </w:r>
      <w:r>
        <w:rPr>
          <w:rFonts w:hint="eastAsia"/>
          <w:color w:val="auto"/>
          <w:sz w:val="32"/>
          <w:szCs w:val="32"/>
          <w:lang w:val="en-US" w:eastAsia="zh-CN"/>
        </w:rPr>
        <w:t>1,592</w:t>
      </w:r>
      <w:r>
        <w:rPr>
          <w:rFonts w:hint="eastAsia" w:cs="宋体"/>
          <w:color w:val="auto"/>
          <w:sz w:val="32"/>
          <w:szCs w:val="32"/>
        </w:rPr>
        <w:t>万元。</w:t>
      </w: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 w:cs="宋体"/>
          <w:b/>
          <w:bCs/>
          <w:color w:val="000000"/>
          <w:sz w:val="44"/>
          <w:szCs w:val="44"/>
        </w:rPr>
        <w:t>第三部分</w:t>
      </w:r>
    </w:p>
    <w:p>
      <w:pPr>
        <w:ind w:firstLine="883" w:firstLineChars="200"/>
        <w:jc w:val="center"/>
        <w:rPr>
          <w:rFonts w:cs="Times New Roman"/>
          <w:b/>
          <w:bCs/>
          <w:color w:val="000000"/>
          <w:sz w:val="44"/>
          <w:szCs w:val="44"/>
        </w:rPr>
      </w:pPr>
    </w:p>
    <w:p>
      <w:pPr>
        <w:ind w:firstLine="883" w:firstLineChars="200"/>
        <w:jc w:val="center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cs="宋体"/>
          <w:b/>
          <w:bCs/>
          <w:color w:val="000000"/>
          <w:sz w:val="44"/>
          <w:szCs w:val="44"/>
        </w:rPr>
        <w:t>年举借债务情况</w:t>
      </w:r>
    </w:p>
    <w:p>
      <w:pPr>
        <w:ind w:firstLine="640" w:firstLineChars="200"/>
        <w:jc w:val="left"/>
        <w:rPr>
          <w:rFonts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cs="Times New Roman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2021</w:t>
      </w:r>
      <w:r>
        <w:rPr>
          <w:rFonts w:hint="eastAsia" w:cs="宋体"/>
          <w:color w:val="000000"/>
          <w:sz w:val="32"/>
          <w:szCs w:val="32"/>
        </w:rPr>
        <w:t>年本单位未举借债务。</w:t>
      </w:r>
    </w:p>
    <w:p>
      <w:pPr>
        <w:ind w:firstLine="640" w:firstLineChars="200"/>
        <w:jc w:val="left"/>
        <w:rPr>
          <w:rFonts w:cs="Times New Roman"/>
          <w:color w:val="000000"/>
          <w:sz w:val="32"/>
          <w:szCs w:val="32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 w:cs="宋体"/>
          <w:b/>
          <w:bCs/>
          <w:color w:val="000000"/>
          <w:sz w:val="44"/>
          <w:szCs w:val="44"/>
        </w:rPr>
        <w:t>第四部分</w:t>
      </w:r>
    </w:p>
    <w:p>
      <w:pPr>
        <w:widowControl/>
        <w:spacing w:line="375" w:lineRule="atLeast"/>
        <w:ind w:firstLine="640"/>
        <w:jc w:val="left"/>
        <w:rPr>
          <w:rFonts w:ascii="宋体" w:cs="Times New Roman"/>
          <w:color w:val="000000"/>
          <w:sz w:val="32"/>
          <w:szCs w:val="32"/>
        </w:rPr>
      </w:pPr>
    </w:p>
    <w:p>
      <w:pPr>
        <w:rPr>
          <w:rFonts w:cs="Times New Roman"/>
          <w:color w:val="000000"/>
        </w:rPr>
      </w:pPr>
    </w:p>
    <w:p>
      <w:pPr>
        <w:jc w:val="center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cs="宋体"/>
          <w:b/>
          <w:bCs/>
          <w:color w:val="000000"/>
          <w:sz w:val="44"/>
          <w:szCs w:val="44"/>
        </w:rPr>
        <w:t>年度预算绩效工作开展情况说明</w:t>
      </w:r>
    </w:p>
    <w:p>
      <w:pPr>
        <w:tabs>
          <w:tab w:val="left" w:pos="8595"/>
        </w:tabs>
        <w:spacing w:line="360" w:lineRule="auto"/>
        <w:ind w:firstLine="600" w:firstLineChars="200"/>
        <w:rPr>
          <w:rFonts w:ascii="仿宋_GB2312" w:eastAsia="仿宋_GB2312" w:cs="Times New Roman"/>
          <w:color w:val="000000"/>
          <w:kern w:val="0"/>
          <w:sz w:val="30"/>
          <w:szCs w:val="30"/>
        </w:rPr>
      </w:pPr>
    </w:p>
    <w:p>
      <w:pPr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东山区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健全全过程预算绩效管理机制，重点加强绩效目标管理，强化评价结果运用。一是健全绩效评价制度。树立正确的绩效评价理念，重视绩效评价工作，在实际管理工作中充分凸显绩效评价权威性价值。二是科学制定评价指标。合理区分主次指标，对于关键绩效情况实行充分体现。三是应用评价结果。及时反馈绩效评价结果，督促相关部门改正问题，推动预算管理水平提升。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年从编制预算开始，努力提高绩效目标透明度，主动性、创造性地把钱花好和把事情办好。不断加大考核力度，大力推行全面预算管理绩效评价，完善绩效评价体系。推动绩效评价由具体项目向政策整体评估拓展，加强不同财政政策间的横向比较，为科学安排预算提供重要借鉴。</w:t>
      </w:r>
    </w:p>
    <w:p>
      <w:pPr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 w:cs="宋体"/>
          <w:b/>
          <w:bCs/>
          <w:color w:val="000000"/>
          <w:sz w:val="44"/>
          <w:szCs w:val="44"/>
        </w:rPr>
        <w:t>第五部分</w:t>
      </w:r>
    </w:p>
    <w:p>
      <w:pPr>
        <w:ind w:firstLine="640" w:firstLineChars="200"/>
        <w:rPr>
          <w:rFonts w:cs="Times New Roman"/>
          <w:color w:val="000000"/>
          <w:sz w:val="32"/>
          <w:szCs w:val="32"/>
        </w:rPr>
      </w:pPr>
    </w:p>
    <w:p>
      <w:pPr>
        <w:jc w:val="center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cs="宋体"/>
          <w:b/>
          <w:bCs/>
          <w:color w:val="000000"/>
          <w:sz w:val="44"/>
          <w:szCs w:val="44"/>
        </w:rPr>
        <w:t>年度财政总决算收支情况说明</w:t>
      </w:r>
    </w:p>
    <w:p>
      <w:pPr>
        <w:widowControl/>
        <w:spacing w:line="375" w:lineRule="atLeast"/>
        <w:jc w:val="center"/>
        <w:rPr>
          <w:rFonts w:cs="Times New Roman"/>
          <w:color w:val="000000"/>
        </w:rPr>
      </w:pPr>
      <w:r>
        <w:rPr>
          <w:rFonts w:ascii="宋体" w:cs="Times New Roman"/>
          <w:b/>
          <w:bCs/>
          <w:color w:val="000000"/>
          <w:kern w:val="0"/>
        </w:rPr>
        <w:t> </w:t>
      </w:r>
    </w:p>
    <w:p>
      <w:pPr>
        <w:ind w:firstLine="640" w:firstLineChars="200"/>
        <w:jc w:val="left"/>
        <w:rPr>
          <w:rFonts w:cs="Times New Roman"/>
          <w:color w:val="000000"/>
          <w:sz w:val="32"/>
          <w:szCs w:val="32"/>
        </w:rPr>
      </w:pPr>
      <w:r>
        <w:rPr>
          <w:rFonts w:hint="eastAsia" w:cs="宋体"/>
          <w:color w:val="000000"/>
          <w:sz w:val="32"/>
          <w:szCs w:val="32"/>
        </w:rPr>
        <w:t>一、</w:t>
      </w:r>
      <w:r>
        <w:rPr>
          <w:rFonts w:hint="eastAsia"/>
          <w:color w:val="000000"/>
          <w:sz w:val="32"/>
          <w:szCs w:val="32"/>
          <w:lang w:val="en-US" w:eastAsia="zh-CN"/>
        </w:rPr>
        <w:t>2021</w:t>
      </w:r>
      <w:r>
        <w:rPr>
          <w:rFonts w:hint="eastAsia" w:cs="宋体"/>
          <w:color w:val="000000"/>
          <w:sz w:val="32"/>
          <w:szCs w:val="32"/>
        </w:rPr>
        <w:t>年收入情况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2021年全区全口径财政收入完成19,109万元，完成预算的139.94%，同比下降10.02%。其中：一般公共预算收入完成7,792万元，完成预算的154.76%，同比下降8.08%；上划收入完成11,317万元，完成预算的131.29%，同比下降11.3%。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1年全区一般公共预算支出完成39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122万元，同比增长40.15</w:t>
      </w:r>
      <w:r>
        <w:rPr>
          <w:rFonts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全区一般公共预算主要收入项目具体情况：增值税3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777万元、企业所得税</w:t>
      </w:r>
      <w:r>
        <w:rPr>
          <w:rFonts w:ascii="仿宋" w:hAnsi="仿宋" w:eastAsia="仿宋" w:cs="仿宋"/>
          <w:sz w:val="32"/>
          <w:szCs w:val="32"/>
        </w:rPr>
        <w:t>1,</w:t>
      </w:r>
      <w:r>
        <w:rPr>
          <w:rFonts w:hint="eastAsia" w:ascii="仿宋" w:hAnsi="仿宋" w:eastAsia="仿宋" w:cs="仿宋"/>
          <w:sz w:val="32"/>
          <w:szCs w:val="32"/>
        </w:rPr>
        <w:t>334万元、个人所得税108万元、其它税种1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829万元、非税收入744万元。</w:t>
      </w:r>
    </w:p>
    <w:p>
      <w:pPr>
        <w:widowControl/>
        <w:spacing w:line="375" w:lineRule="atLeast"/>
        <w:ind w:firstLine="640"/>
        <w:jc w:val="left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二、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宋体" w:hAnsi="宋体" w:cs="宋体"/>
          <w:color w:val="000000"/>
          <w:sz w:val="32"/>
          <w:szCs w:val="32"/>
        </w:rPr>
        <w:t>年公共财政支出情况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全区一般公共预算主要支出项目具体情况：一般公共服务支出5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655万元、公共安全支出312万元、教育支出9,178万元、社会保障和就业支出11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120万元、卫生健康支出3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295万元、节能环保支出347万元、城乡社区支出</w:t>
      </w:r>
      <w:r>
        <w:rPr>
          <w:rFonts w:ascii="仿宋" w:hAnsi="仿宋" w:eastAsia="仿宋" w:cs="仿宋"/>
          <w:sz w:val="32"/>
          <w:szCs w:val="32"/>
        </w:rPr>
        <w:t>3,122</w:t>
      </w:r>
      <w:r>
        <w:rPr>
          <w:rFonts w:hint="eastAsia" w:ascii="仿宋" w:hAnsi="仿宋" w:eastAsia="仿宋" w:cs="仿宋"/>
          <w:sz w:val="32"/>
          <w:szCs w:val="32"/>
        </w:rPr>
        <w:t>万元、农林水支出</w:t>
      </w:r>
      <w:r>
        <w:rPr>
          <w:rFonts w:ascii="仿宋" w:hAnsi="仿宋" w:eastAsia="仿宋" w:cs="仿宋"/>
          <w:sz w:val="32"/>
          <w:szCs w:val="32"/>
        </w:rPr>
        <w:t>3,</w:t>
      </w:r>
      <w:r>
        <w:rPr>
          <w:rFonts w:hint="eastAsia" w:ascii="仿宋" w:hAnsi="仿宋" w:eastAsia="仿宋" w:cs="仿宋"/>
          <w:sz w:val="32"/>
          <w:szCs w:val="32"/>
        </w:rPr>
        <w:t>939万元、交通运输支出183万元、住房保障支出1,064万元、灾害防治及应急管理支出800万元、其它支出107万元。</w:t>
      </w: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hint="eastAsia" w:cs="宋体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 w:cs="宋体"/>
          <w:b/>
          <w:bCs/>
          <w:color w:val="000000"/>
          <w:sz w:val="44"/>
          <w:szCs w:val="44"/>
        </w:rPr>
        <w:t>第六部分</w:t>
      </w:r>
    </w:p>
    <w:p>
      <w:pPr>
        <w:jc w:val="center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cs="宋体"/>
          <w:b/>
          <w:bCs/>
          <w:color w:val="000000"/>
          <w:sz w:val="44"/>
          <w:szCs w:val="44"/>
        </w:rPr>
        <w:t>年政府性基金决算情况</w:t>
      </w:r>
    </w:p>
    <w:p>
      <w:pPr>
        <w:jc w:val="left"/>
        <w:rPr>
          <w:rFonts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eastAsia="宋体" w:cs="Times New Roman"/>
          <w:color w:val="000000"/>
          <w:sz w:val="32"/>
          <w:szCs w:val="32"/>
          <w:lang w:val="en-US" w:eastAsia="zh-CN"/>
        </w:rPr>
      </w:pPr>
      <w:r>
        <w:rPr>
          <w:rFonts w:hint="eastAsia" w:cs="Times New Roman"/>
          <w:color w:val="000000"/>
          <w:sz w:val="32"/>
          <w:szCs w:val="32"/>
          <w:lang w:val="en-US" w:eastAsia="zh-CN"/>
        </w:rPr>
        <w:t>2021年基金预算支出294万元，为抗疫特别国债支出。</w:t>
      </w:r>
    </w:p>
    <w:p>
      <w:pPr>
        <w:ind w:firstLine="640" w:firstLineChars="200"/>
        <w:jc w:val="left"/>
        <w:rPr>
          <w:rFonts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cs="Times New Roman"/>
          <w:color w:val="000000"/>
          <w:sz w:val="32"/>
          <w:szCs w:val="32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 w:cs="宋体"/>
          <w:b/>
          <w:bCs/>
          <w:color w:val="000000"/>
          <w:sz w:val="44"/>
          <w:szCs w:val="44"/>
        </w:rPr>
        <w:t>第七部分</w:t>
      </w:r>
    </w:p>
    <w:p>
      <w:pPr>
        <w:jc w:val="center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cs="宋体"/>
          <w:b/>
          <w:bCs/>
          <w:color w:val="000000"/>
          <w:sz w:val="44"/>
          <w:szCs w:val="44"/>
        </w:rPr>
        <w:t>年社会保险基金决算情况</w:t>
      </w:r>
    </w:p>
    <w:p>
      <w:pPr>
        <w:ind w:firstLine="640" w:firstLineChars="200"/>
        <w:jc w:val="left"/>
        <w:rPr>
          <w:rFonts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 w:cs="宋体"/>
          <w:color w:val="000000"/>
          <w:sz w:val="32"/>
          <w:szCs w:val="32"/>
        </w:rPr>
        <w:t>本单位无社会保险基金收入和支出决算。</w:t>
      </w: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left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 w:cs="宋体"/>
          <w:b/>
          <w:bCs/>
          <w:color w:val="000000"/>
          <w:sz w:val="44"/>
          <w:szCs w:val="44"/>
        </w:rPr>
        <w:t>第八部分</w:t>
      </w:r>
    </w:p>
    <w:p>
      <w:pPr>
        <w:jc w:val="center"/>
        <w:rPr>
          <w:rFonts w:cs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cs="宋体"/>
          <w:b/>
          <w:bCs/>
          <w:color w:val="000000"/>
          <w:sz w:val="44"/>
          <w:szCs w:val="44"/>
        </w:rPr>
        <w:t>年国有资本经营决算情况</w:t>
      </w:r>
    </w:p>
    <w:p>
      <w:pPr>
        <w:ind w:firstLine="640" w:firstLineChars="200"/>
        <w:jc w:val="left"/>
        <w:rPr>
          <w:rFonts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cs="宋体"/>
          <w:color w:val="000000"/>
          <w:sz w:val="32"/>
          <w:szCs w:val="32"/>
        </w:rPr>
      </w:pPr>
      <w:r>
        <w:rPr>
          <w:rFonts w:hint="eastAsia" w:cs="宋体"/>
          <w:color w:val="000000"/>
          <w:sz w:val="32"/>
          <w:szCs w:val="32"/>
        </w:rPr>
        <w:t>本单位无国有资本经营收入和支出决算。</w:t>
      </w:r>
    </w:p>
    <w:p>
      <w:pPr>
        <w:ind w:firstLine="640" w:firstLineChars="200"/>
        <w:jc w:val="left"/>
        <w:rPr>
          <w:rFonts w:cs="宋体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cs="宋体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cs="宋体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cs="宋体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cs="宋体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cs="宋体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cs="宋体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cs="宋体"/>
          <w:color w:val="000000"/>
          <w:sz w:val="32"/>
          <w:szCs w:val="32"/>
        </w:rPr>
      </w:pPr>
    </w:p>
    <w:p>
      <w:pPr>
        <w:ind w:firstLine="640" w:firstLineChars="200"/>
        <w:jc w:val="right"/>
        <w:rPr>
          <w:rFonts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3OGRjYjVjNTAwMWE2ZTlhYTM3YTFkNTk4MWM3YjYifQ=="/>
  </w:docVars>
  <w:rsids>
    <w:rsidRoot w:val="00000000"/>
    <w:rsid w:val="21B31C54"/>
    <w:rsid w:val="73870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uiPriority w:val="99"/>
    <w:pPr>
      <w:ind w:firstLine="420" w:firstLineChars="200"/>
    </w:pPr>
  </w:style>
  <w:style w:type="character" w:customStyle="1" w:styleId="7">
    <w:name w:val="页脚 Char Char"/>
    <w:basedOn w:val="5"/>
    <w:link w:val="2"/>
    <w:uiPriority w:val="99"/>
    <w:rPr>
      <w:sz w:val="18"/>
      <w:szCs w:val="18"/>
    </w:rPr>
  </w:style>
  <w:style w:type="character" w:customStyle="1" w:styleId="8">
    <w:name w:val="页眉 Char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9</Pages>
  <Words>1240</Words>
  <Characters>1433</Characters>
  <Lines>10</Lines>
  <Paragraphs>2</Paragraphs>
  <TotalTime>7</TotalTime>
  <ScaleCrop>false</ScaleCrop>
  <LinksUpToDate>false</LinksUpToDate>
  <CharactersWithSpaces>1435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2016-03-11T06:25:00Z</dcterms:created>
  <dc:creator>lenovo</dc:creator>
  <cp:lastModifiedBy>lenovo123</cp:lastModifiedBy>
  <dcterms:modified xsi:type="dcterms:W3CDTF">2022-09-30T06:45:09Z</dcterms:modified>
  <dc:title>鹤岗市东山区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9015B60155A34A9695E85F1859BE6FC1</vt:lpwstr>
  </property>
</Properties>
</file>