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B35A3">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sz w:val="44"/>
          <w:szCs w:val="44"/>
        </w:rPr>
        <w:t>拟审批意见</w:t>
      </w:r>
    </w:p>
    <w:tbl>
      <w:tblPr>
        <w:tblStyle w:val="12"/>
        <w:tblW w:w="9555" w:type="dxa"/>
        <w:tblCellSpacing w:w="15" w:type="dxa"/>
        <w:tblInd w:w="-477" w:type="dxa"/>
        <w:tblLayout w:type="fixed"/>
        <w:tblCellMar>
          <w:top w:w="0" w:type="dxa"/>
          <w:left w:w="0" w:type="dxa"/>
          <w:bottom w:w="0" w:type="dxa"/>
          <w:right w:w="0" w:type="dxa"/>
        </w:tblCellMar>
      </w:tblPr>
      <w:tblGrid>
        <w:gridCol w:w="1822"/>
        <w:gridCol w:w="7733"/>
      </w:tblGrid>
      <w:tr w14:paraId="169CC79E">
        <w:tblPrEx>
          <w:tblCellMar>
            <w:top w:w="0" w:type="dxa"/>
            <w:left w:w="0" w:type="dxa"/>
            <w:bottom w:w="0" w:type="dxa"/>
            <w:right w:w="0" w:type="dxa"/>
          </w:tblCellMar>
        </w:tblPrEx>
        <w:trPr>
          <w:trHeight w:val="90" w:hRule="atLeast"/>
          <w:tblCellSpacing w:w="15" w:type="dxa"/>
        </w:trPr>
        <w:tc>
          <w:tcPr>
            <w:tcW w:w="1777" w:type="dxa"/>
            <w:tcBorders>
              <w:top w:val="single" w:color="000000" w:sz="4" w:space="0"/>
              <w:left w:val="single" w:color="000000" w:sz="4" w:space="0"/>
              <w:bottom w:val="single" w:color="000000" w:sz="4" w:space="0"/>
              <w:right w:val="single" w:color="000000" w:sz="4" w:space="0"/>
            </w:tcBorders>
            <w:noWrap w:val="0"/>
            <w:tcMar>
              <w:left w:w="70" w:type="dxa"/>
              <w:right w:w="70" w:type="dxa"/>
            </w:tcMar>
            <w:vAlign w:val="center"/>
          </w:tcPr>
          <w:p w14:paraId="652BF178">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建设项目</w:t>
            </w:r>
          </w:p>
          <w:p w14:paraId="7C78EF3A">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7688" w:type="dxa"/>
            <w:tcBorders>
              <w:top w:val="single" w:color="000000" w:sz="4" w:space="0"/>
              <w:left w:val="nil"/>
              <w:bottom w:val="single" w:color="000000" w:sz="4" w:space="0"/>
              <w:right w:val="single" w:color="000000" w:sz="4" w:space="0"/>
            </w:tcBorders>
            <w:noWrap w:val="0"/>
            <w:tcMar>
              <w:left w:w="70" w:type="dxa"/>
              <w:right w:w="70" w:type="dxa"/>
            </w:tcMar>
            <w:vAlign w:val="center"/>
          </w:tcPr>
          <w:p w14:paraId="2D044174">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kern w:val="2"/>
                <w:sz w:val="32"/>
                <w:szCs w:val="32"/>
                <w:lang w:val="en-US" w:eastAsia="zh-CN" w:bidi="ar-SA"/>
              </w:rPr>
              <w:t>鹤岗市兴山煤炭产业园建设项目</w:t>
            </w:r>
          </w:p>
        </w:tc>
      </w:tr>
      <w:tr w14:paraId="0666D46B">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01123C7F">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建设地址</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7C5B691C">
            <w:pPr>
              <w:pStyle w:val="10"/>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黑龙江省鹤岗市兴山区兴山煤矿东侧</w:t>
            </w:r>
          </w:p>
        </w:tc>
      </w:tr>
      <w:tr w14:paraId="1FB28A66">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14F8E907">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13D55D5B">
            <w:pPr>
              <w:pStyle w:val="10"/>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鹤岗市齐程经贸有限公司</w:t>
            </w:r>
          </w:p>
        </w:tc>
      </w:tr>
      <w:tr w14:paraId="1378BA43">
        <w:tblPrEx>
          <w:tblCellMar>
            <w:top w:w="0" w:type="dxa"/>
            <w:left w:w="0" w:type="dxa"/>
            <w:bottom w:w="0" w:type="dxa"/>
            <w:right w:w="0" w:type="dxa"/>
          </w:tblCellMar>
        </w:tblPrEx>
        <w:trPr>
          <w:trHeight w:val="90"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1CF3B757">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环境影响</w:t>
            </w:r>
          </w:p>
          <w:p w14:paraId="02B36B22">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评价单位</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0528EFC6">
            <w:pPr>
              <w:pStyle w:val="10"/>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黑龙江能顺环保科技有限公司</w:t>
            </w:r>
          </w:p>
        </w:tc>
      </w:tr>
      <w:tr w14:paraId="3FB8E4CA">
        <w:tblPrEx>
          <w:tblCellMar>
            <w:top w:w="0" w:type="dxa"/>
            <w:left w:w="0" w:type="dxa"/>
            <w:bottom w:w="0" w:type="dxa"/>
            <w:right w:w="0" w:type="dxa"/>
          </w:tblCellMar>
        </w:tblPrEx>
        <w:trPr>
          <w:trHeight w:val="97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2234876F">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项目概况</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13CBDAD1">
            <w:pPr>
              <w:widowControl/>
              <w:spacing w:line="360" w:lineRule="auto"/>
              <w:ind w:firstLine="47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鹤岗市齐程经贸有限公司规划在黑龙江省鹤岗市兴山区兴山煤矿东侧建设</w:t>
            </w:r>
            <w:r>
              <w:rPr>
                <w:rFonts w:hint="eastAsia" w:ascii="仿宋" w:hAnsi="仿宋" w:eastAsia="仿宋" w:cs="仿宋"/>
                <w:kern w:val="2"/>
                <w:sz w:val="32"/>
                <w:szCs w:val="32"/>
                <w:lang w:val="en-US" w:eastAsia="zh-CN" w:bidi="ar-SA"/>
              </w:rPr>
              <w:t>鹤岗市兴山煤炭产业园建设项目</w:t>
            </w:r>
            <w:r>
              <w:rPr>
                <w:rFonts w:hint="eastAsia" w:ascii="仿宋" w:hAnsi="仿宋" w:eastAsia="仿宋" w:cs="仿宋"/>
                <w:color w:val="auto"/>
                <w:sz w:val="32"/>
                <w:szCs w:val="32"/>
                <w:lang w:val="en-US" w:eastAsia="zh-CN"/>
              </w:rPr>
              <w:t>，占地面积48511.66m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，项目场址现状占地类型为采矿用地，建设性质为新</w:t>
            </w:r>
            <w:bookmarkStart w:id="0" w:name="_GoBack"/>
            <w:bookmarkEnd w:id="0"/>
            <w:r>
              <w:rPr>
                <w:rFonts w:hint="eastAsia" w:ascii="仿宋" w:hAnsi="仿宋" w:eastAsia="仿宋" w:cs="仿宋"/>
                <w:color w:val="auto"/>
                <w:sz w:val="32"/>
                <w:szCs w:val="32"/>
                <w:lang w:val="en-US" w:eastAsia="zh-CN"/>
              </w:rPr>
              <w:t>建。新建1条生产能力为60万吨的原煤洗选生产线，采用跳汰洗选工艺，厂区内设有洗煤车间、原煤库和办公室等。项目年工作300天，2班制，每班8小时。项目总投资为13572万元</w:t>
            </w:r>
            <w:r>
              <w:rPr>
                <w:rFonts w:hint="default" w:ascii="仿宋" w:hAnsi="仿宋" w:eastAsia="仿宋" w:cs="仿宋"/>
                <w:color w:val="auto"/>
                <w:sz w:val="32"/>
                <w:szCs w:val="32"/>
                <w:lang w:val="en-GB"/>
              </w:rPr>
              <w:t>，环保投资为</w:t>
            </w:r>
            <w:r>
              <w:rPr>
                <w:rFonts w:hint="eastAsia" w:ascii="仿宋" w:hAnsi="仿宋" w:eastAsia="仿宋" w:cs="仿宋"/>
                <w:color w:val="auto"/>
                <w:sz w:val="32"/>
                <w:szCs w:val="32"/>
                <w:lang w:val="en-US" w:eastAsia="zh-CN"/>
              </w:rPr>
              <w:t>106</w:t>
            </w:r>
            <w:r>
              <w:rPr>
                <w:rFonts w:hint="default" w:ascii="仿宋" w:hAnsi="仿宋" w:eastAsia="仿宋" w:cs="仿宋"/>
                <w:color w:val="auto"/>
                <w:sz w:val="32"/>
                <w:szCs w:val="32"/>
                <w:lang w:val="en-GB"/>
              </w:rPr>
              <w:t>万元</w:t>
            </w:r>
            <w:r>
              <w:rPr>
                <w:rFonts w:hint="eastAsia" w:ascii="仿宋" w:hAnsi="仿宋" w:eastAsia="仿宋" w:cs="仿宋"/>
                <w:color w:val="auto"/>
                <w:sz w:val="32"/>
                <w:szCs w:val="32"/>
                <w:lang w:val="en-GB" w:eastAsia="zh-CN"/>
              </w:rPr>
              <w:t>。</w:t>
            </w:r>
          </w:p>
        </w:tc>
      </w:tr>
      <w:tr w14:paraId="59235F08">
        <w:tblPrEx>
          <w:tblCellMar>
            <w:top w:w="0" w:type="dxa"/>
            <w:left w:w="0" w:type="dxa"/>
            <w:bottom w:w="0" w:type="dxa"/>
            <w:right w:w="0" w:type="dxa"/>
          </w:tblCellMar>
        </w:tblPrEx>
        <w:trPr>
          <w:trHeight w:val="5566"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03352C25">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主要环境影响及预防或者减轻不良影响的对策和措施</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20DA0E87">
            <w:pPr>
              <w:autoSpaceDN w:val="0"/>
              <w:adjustRightInd w:val="0"/>
              <w:snapToGrid w:val="0"/>
              <w:spacing w:line="360" w:lineRule="auto"/>
              <w:ind w:firstLine="640" w:firstLineChars="200"/>
              <w:rPr>
                <w:rFonts w:ascii="黑体" w:hAnsi="黑体" w:eastAsia="黑体" w:cs="黑体"/>
                <w:sz w:val="32"/>
                <w:szCs w:val="32"/>
              </w:rPr>
            </w:pPr>
            <w:r>
              <w:rPr>
                <w:rFonts w:ascii="黑体" w:hAnsi="黑体" w:eastAsia="黑体" w:cs="黑体"/>
                <w:sz w:val="32"/>
                <w:szCs w:val="32"/>
              </w:rPr>
              <w:t>一、施工期</w:t>
            </w:r>
          </w:p>
          <w:p w14:paraId="00284F91">
            <w:pPr>
              <w:tabs>
                <w:tab w:val="left" w:pos="648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施工期加强施工扬尘监管，强化施工扬尘监管，严格落实“洒水、覆盖、硬化、冲洗、绿化、围挡”六个100%措施。严禁污水乱排和污染道路、环境等。施工期设置隔油池和沉砂池，施工设备清洗废水经隔油、沉砂处理后用于施工场地降尘。施工人员生活污水排入防渗旱厕，定期清掏。</w:t>
            </w:r>
            <w:r>
              <w:rPr>
                <w:rFonts w:hint="eastAsia" w:ascii="仿宋" w:hAnsi="仿宋" w:eastAsia="仿宋" w:cs="仿宋"/>
                <w:kern w:val="0"/>
                <w:sz w:val="32"/>
                <w:szCs w:val="32"/>
                <w:lang w:bidi="ar"/>
              </w:rPr>
              <w:t>对产生高噪声设备尽量安排在白天使用，合理安排高噪声设备远离敏感目标作业，同时夜间（22:00～6:00）不使用噪声设备。汽车晚间运输尽量用灯光示警，禁鸣喇叭。此外，尽量选用低噪声机械设备或带隔声、消声的设备，对产生噪声的施工设备加强维护和维修工作。</w:t>
            </w:r>
            <w:r>
              <w:rPr>
                <w:rFonts w:hint="eastAsia" w:ascii="仿宋" w:hAnsi="仿宋" w:eastAsia="仿宋" w:cs="仿宋"/>
                <w:sz w:val="32"/>
                <w:szCs w:val="32"/>
              </w:rPr>
              <w:t>废弃建筑碎块、渣土垃圾用于场地平整，不外排。施工人员生活垃圾定期运往垃圾中转站，由市政单位统一处理。</w:t>
            </w:r>
          </w:p>
          <w:p w14:paraId="12BDD758">
            <w:pPr>
              <w:autoSpaceDN w:val="0"/>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一、运营期</w:t>
            </w:r>
          </w:p>
          <w:p w14:paraId="7C3E01FD">
            <w:pPr>
              <w:autoSpaceDN w:val="0"/>
              <w:adjustRightInd w:val="0"/>
              <w:snapToGrid w:val="0"/>
              <w:spacing w:line="360" w:lineRule="auto"/>
              <w:ind w:firstLine="480" w:firstLineChars="150"/>
              <w:rPr>
                <w:rFonts w:hint="eastAsia" w:ascii="仿宋" w:hAnsi="仿宋" w:eastAsia="仿宋" w:cs="仿宋"/>
                <w:sz w:val="32"/>
                <w:szCs w:val="32"/>
              </w:rPr>
            </w:pPr>
            <w:r>
              <w:rPr>
                <w:rFonts w:hint="eastAsia" w:ascii="楷体" w:hAnsi="楷体" w:eastAsia="楷体" w:cs="楷体"/>
                <w:sz w:val="32"/>
                <w:szCs w:val="32"/>
              </w:rPr>
              <w:t>（一）大气污染防治措施</w:t>
            </w:r>
          </w:p>
          <w:p w14:paraId="0BED5631">
            <w:pPr>
              <w:autoSpaceDN w:val="0"/>
              <w:adjustRightInd w:val="0"/>
              <w:snapToGrid w:val="0"/>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（1）破碎</w:t>
            </w:r>
            <w:r>
              <w:rPr>
                <w:rFonts w:ascii="仿宋" w:hAnsi="仿宋" w:eastAsia="仿宋" w:cs="仿宋"/>
                <w:sz w:val="32"/>
                <w:szCs w:val="32"/>
              </w:rPr>
              <w:t>产生的粉尘</w:t>
            </w:r>
          </w:p>
          <w:p w14:paraId="2C12E069">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项目破碎筛过程上方设置集尘罩（收集效率为90%）收集，废气通入布袋除尘器进行除尘，除尘效率为99%，由1根15m高排气筒（DA001）达标排放，有组织颗粒物排放浓度满足《煤炭工业污染物排放标准》（GB20426-2006）表4中标准。车间无组织排放颗粒物满足《大气污染物综合排放标准》（GB16297-1996）中表2标准限值。</w:t>
            </w:r>
          </w:p>
          <w:p w14:paraId="6B6C9E9B">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（2）浮选过程产生的有机废气</w:t>
            </w:r>
          </w:p>
          <w:p w14:paraId="62B0E42B">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浮选工艺产生的非甲烷总烃以无组织的形式在洗选车间内逸散，排放的非甲烷总烃满足《大气污染物综合排放标准》（GB16297-1996）表2中无组织排放限值要求。厂区内挥发性有机物无组织排放标准满足《挥发性有机物无组织排放控制标准》（GB37822—2019）中表A.1限值。</w:t>
            </w:r>
          </w:p>
          <w:p w14:paraId="246E7910">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（3）油罐区大小呼吸量</w:t>
            </w:r>
          </w:p>
          <w:p w14:paraId="6F8529EA">
            <w:pPr>
              <w:autoSpaceDN w:val="0"/>
              <w:adjustRightInd w:val="0"/>
              <w:snapToGrid w:val="0"/>
              <w:spacing w:line="360" w:lineRule="auto"/>
              <w:ind w:firstLine="800" w:firstLineChars="250"/>
              <w:rPr>
                <w:rFonts w:ascii="仿宋" w:hAnsi="仿宋" w:eastAsia="仿宋" w:cs="仿宋"/>
                <w:sz w:val="32"/>
                <w:szCs w:val="32"/>
              </w:rPr>
            </w:pPr>
            <w:r>
              <w:rPr>
                <w:rFonts w:ascii="仿宋" w:hAnsi="仿宋" w:eastAsia="仿宋" w:cs="仿宋"/>
                <w:sz w:val="32"/>
                <w:szCs w:val="32"/>
              </w:rPr>
              <w:t>油罐区</w:t>
            </w:r>
            <w:r>
              <w:rPr>
                <w:rFonts w:hint="eastAsia" w:ascii="仿宋" w:hAnsi="仿宋" w:eastAsia="仿宋" w:cs="仿宋"/>
                <w:sz w:val="32"/>
                <w:szCs w:val="32"/>
              </w:rPr>
              <w:t>采用封闭接口，密闭输送，</w:t>
            </w:r>
            <w:r>
              <w:rPr>
                <w:rFonts w:ascii="仿宋" w:hAnsi="仿宋" w:eastAsia="仿宋" w:cs="仿宋"/>
                <w:sz w:val="32"/>
                <w:szCs w:val="32"/>
              </w:rPr>
              <w:t>排放的非甲烷总烃满足《大气污染物综合排放标准》（GB16297-1996）表2中无组织排放限值要求。厂区内挥发性有机物无组织排放标准满足《挥发性有机物无组织排放控制标准》（GB37822—2019）中表A.1限值。</w:t>
            </w:r>
          </w:p>
          <w:p w14:paraId="78886A0A">
            <w:pPr>
              <w:autoSpaceDN w:val="0"/>
              <w:adjustRightInd w:val="0"/>
              <w:snapToGrid w:val="0"/>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（4）汽车运输扬尘</w:t>
            </w:r>
          </w:p>
          <w:p w14:paraId="5475C2B0">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本项目在运输过程中采取洒水降尘的方式控制粉尘的排放；同时对厂区地面进行硬化，并定时对路面进行洒水，同时企业加强管理，禁止车辆超载、超速。在认真落实上述措施的基础上，粉尘排放可以满足《大气污染物综合排放标准》（GB16297-1996）表2排放限值标准要求。</w:t>
            </w:r>
          </w:p>
          <w:p w14:paraId="40586B08">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装卸</w:t>
            </w:r>
            <w:r>
              <w:rPr>
                <w:rFonts w:hint="eastAsia" w:ascii="仿宋" w:hAnsi="仿宋" w:eastAsia="仿宋" w:cs="仿宋"/>
                <w:sz w:val="32"/>
                <w:szCs w:val="32"/>
              </w:rPr>
              <w:t>粉尘</w:t>
            </w:r>
          </w:p>
          <w:p w14:paraId="55841F4C">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本项目在</w:t>
            </w:r>
            <w:r>
              <w:rPr>
                <w:rFonts w:hint="eastAsia" w:ascii="仿宋" w:hAnsi="仿宋" w:eastAsia="仿宋" w:cs="仿宋"/>
                <w:sz w:val="32"/>
                <w:szCs w:val="32"/>
                <w:lang w:val="en-US" w:eastAsia="zh-CN"/>
              </w:rPr>
              <w:t>卸料</w:t>
            </w:r>
            <w:r>
              <w:rPr>
                <w:rFonts w:hint="eastAsia" w:ascii="仿宋" w:hAnsi="仿宋" w:eastAsia="仿宋" w:cs="仿宋"/>
                <w:sz w:val="32"/>
                <w:szCs w:val="32"/>
              </w:rPr>
              <w:t>过程中采取</w:t>
            </w:r>
            <w:r>
              <w:rPr>
                <w:rFonts w:hint="eastAsia" w:ascii="仿宋" w:hAnsi="仿宋" w:eastAsia="仿宋" w:cs="仿宋"/>
                <w:sz w:val="32"/>
                <w:szCs w:val="32"/>
                <w:lang w:val="en-US" w:eastAsia="zh-CN"/>
              </w:rPr>
              <w:t>降低装卸高度和</w:t>
            </w:r>
            <w:r>
              <w:rPr>
                <w:rFonts w:hint="eastAsia" w:ascii="仿宋" w:hAnsi="仿宋" w:eastAsia="仿宋" w:cs="仿宋"/>
                <w:sz w:val="32"/>
                <w:szCs w:val="32"/>
              </w:rPr>
              <w:t>洒水降尘的方式控制粉尘的排放</w:t>
            </w:r>
            <w:r>
              <w:rPr>
                <w:rFonts w:hint="eastAsia" w:ascii="仿宋" w:hAnsi="仿宋" w:eastAsia="仿宋" w:cs="仿宋"/>
                <w:sz w:val="32"/>
                <w:szCs w:val="32"/>
                <w:lang w:eastAsia="zh-CN"/>
              </w:rPr>
              <w:t>，</w:t>
            </w:r>
            <w:r>
              <w:rPr>
                <w:rFonts w:hint="eastAsia" w:ascii="仿宋" w:hAnsi="仿宋" w:eastAsia="仿宋" w:cs="仿宋"/>
                <w:sz w:val="32"/>
                <w:szCs w:val="32"/>
              </w:rPr>
              <w:t>粉尘排放可以满足《煤炭工业污染物排放标准》（GB20426-2006）标准要求。本项目在</w:t>
            </w:r>
            <w:r>
              <w:rPr>
                <w:rFonts w:hint="eastAsia" w:ascii="仿宋" w:hAnsi="仿宋" w:eastAsia="仿宋" w:cs="仿宋"/>
                <w:sz w:val="32"/>
                <w:szCs w:val="32"/>
                <w:lang w:val="en-US" w:eastAsia="zh-CN"/>
              </w:rPr>
              <w:t>上料</w:t>
            </w:r>
            <w:r>
              <w:rPr>
                <w:rFonts w:hint="eastAsia" w:ascii="仿宋" w:hAnsi="仿宋" w:eastAsia="仿宋" w:cs="仿宋"/>
                <w:sz w:val="32"/>
                <w:szCs w:val="32"/>
              </w:rPr>
              <w:t>过程中采取</w:t>
            </w:r>
            <w:r>
              <w:rPr>
                <w:rFonts w:hint="eastAsia" w:ascii="仿宋" w:hAnsi="仿宋" w:eastAsia="仿宋" w:cs="仿宋"/>
                <w:sz w:val="32"/>
                <w:szCs w:val="32"/>
                <w:lang w:val="en-US" w:eastAsia="zh-CN"/>
              </w:rPr>
              <w:t>降低装卸高度和</w:t>
            </w:r>
            <w:r>
              <w:rPr>
                <w:rFonts w:hint="eastAsia" w:ascii="仿宋" w:hAnsi="仿宋" w:eastAsia="仿宋" w:cs="仿宋"/>
                <w:sz w:val="32"/>
                <w:szCs w:val="32"/>
              </w:rPr>
              <w:t>洒水降尘的方式控制粉尘的排放</w:t>
            </w:r>
            <w:r>
              <w:rPr>
                <w:rFonts w:hint="eastAsia" w:ascii="仿宋" w:hAnsi="仿宋" w:eastAsia="仿宋" w:cs="仿宋"/>
                <w:sz w:val="32"/>
                <w:szCs w:val="32"/>
                <w:lang w:eastAsia="zh-CN"/>
              </w:rPr>
              <w:t>，</w:t>
            </w:r>
            <w:r>
              <w:rPr>
                <w:rFonts w:hint="eastAsia" w:ascii="仿宋" w:hAnsi="仿宋" w:eastAsia="仿宋" w:cs="仿宋"/>
                <w:sz w:val="32"/>
                <w:szCs w:val="32"/>
              </w:rPr>
              <w:t>粉尘排放可以满足《煤炭工业污染物排放标准》（GB20426-2006）标准要求。</w:t>
            </w:r>
          </w:p>
          <w:p w14:paraId="5B49ECAC">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（6）物料及成品输送粉尘</w:t>
            </w:r>
          </w:p>
          <w:p w14:paraId="25B3B528">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本项目物料及成品输送过程将会产生粉尘，物料及成品输送采用封闭式通廊，各产尘点采取洒水抑尘措施。由于本项目物料装卸频繁，在原料库内加强洒水抑尘措施，通过以上措施，粉尘排放量较少。无组织排放的颗粒物满足《煤炭工业污染物排放标准》（GB20426-2006）表5污染物排放限值要求。</w:t>
            </w:r>
          </w:p>
          <w:p w14:paraId="4F8B0CBD">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（7）设备维修废气及废机油储存废气</w:t>
            </w:r>
          </w:p>
          <w:p w14:paraId="77FB03CF">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本项目设备维修委托专业技术人员在厂区维修，约每半年维修一次，维修期间停止生产，加强通风，维修废气可忽略不计。</w:t>
            </w:r>
          </w:p>
          <w:p w14:paraId="7E3ABACE">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本项目设置危险废物贮存库一座，建筑面积30m</w:t>
            </w:r>
            <w:r>
              <w:rPr>
                <w:rFonts w:hint="eastAsia" w:ascii="仿宋" w:hAnsi="仿宋" w:eastAsia="仿宋" w:cs="仿宋"/>
                <w:sz w:val="32"/>
                <w:szCs w:val="32"/>
                <w:vertAlign w:val="superscript"/>
              </w:rPr>
              <w:t>2</w:t>
            </w:r>
            <w:r>
              <w:rPr>
                <w:rFonts w:hint="eastAsia" w:ascii="仿宋" w:hAnsi="仿宋" w:eastAsia="仿宋" w:cs="仿宋"/>
                <w:sz w:val="32"/>
                <w:szCs w:val="32"/>
              </w:rPr>
              <w:t>，存放的废机油</w:t>
            </w:r>
            <w:r>
              <w:rPr>
                <w:rFonts w:hint="eastAsia" w:ascii="仿宋" w:hAnsi="仿宋" w:eastAsia="仿宋" w:cs="仿宋"/>
                <w:sz w:val="32"/>
                <w:szCs w:val="32"/>
                <w:lang w:val="en-US" w:eastAsia="zh-CN"/>
              </w:rPr>
              <w:t>、含油抹布、手套</w:t>
            </w:r>
            <w:r>
              <w:rPr>
                <w:rFonts w:hint="eastAsia" w:ascii="仿宋" w:hAnsi="仿宋" w:eastAsia="仿宋" w:cs="仿宋"/>
                <w:sz w:val="32"/>
                <w:szCs w:val="32"/>
              </w:rPr>
              <w:t>分区存放，存量极小，危险废物贮存库设置通风口，产生的废气可忽略不计。满足《危险废物贮存污染控制标准》（GB18597-2023）中的设计原则要求。</w:t>
            </w:r>
          </w:p>
          <w:p w14:paraId="1C2A9EF7">
            <w:pPr>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食堂油烟</w:t>
            </w:r>
          </w:p>
          <w:p w14:paraId="2F95B71B">
            <w:pPr>
              <w:autoSpaceDN w:val="0"/>
              <w:adjustRightInd w:val="0"/>
              <w:snapToGrid w:val="0"/>
              <w:spacing w:line="360" w:lineRule="auto"/>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val="en-US" w:eastAsia="zh-CN"/>
              </w:rPr>
              <w:t>该项目</w:t>
            </w:r>
            <w:r>
              <w:rPr>
                <w:rFonts w:hint="eastAsia" w:ascii="仿宋" w:hAnsi="仿宋" w:eastAsia="仿宋" w:cs="仿宋"/>
                <w:sz w:val="32"/>
                <w:szCs w:val="32"/>
              </w:rPr>
              <w:t>食堂油烟经油烟净化器（油烟净化效率60%）处理后</w:t>
            </w:r>
            <w:r>
              <w:rPr>
                <w:rFonts w:hint="eastAsia" w:ascii="仿宋" w:hAnsi="仿宋" w:eastAsia="仿宋" w:cs="仿宋"/>
                <w:sz w:val="32"/>
                <w:szCs w:val="32"/>
                <w:lang w:eastAsia="zh-CN"/>
              </w:rPr>
              <w:t>，</w:t>
            </w:r>
            <w:r>
              <w:rPr>
                <w:rFonts w:hint="eastAsia" w:ascii="仿宋" w:hAnsi="仿宋" w:eastAsia="仿宋" w:cs="仿宋"/>
                <w:sz w:val="32"/>
                <w:szCs w:val="32"/>
              </w:rPr>
              <w:t>满足《饮食业油烟排放标准（试行）》（GB18483-2001）中排放浓度</w:t>
            </w:r>
            <w:r>
              <w:rPr>
                <w:rFonts w:hint="eastAsia" w:ascii="仿宋" w:hAnsi="仿宋" w:eastAsia="仿宋" w:cs="仿宋"/>
                <w:sz w:val="32"/>
                <w:szCs w:val="32"/>
                <w:lang w:val="en-US" w:eastAsia="zh-CN"/>
              </w:rPr>
              <w:t>2.0</w:t>
            </w:r>
            <w:r>
              <w:rPr>
                <w:rFonts w:hint="eastAsia" w:ascii="仿宋" w:hAnsi="仿宋" w:eastAsia="仿宋" w:cs="仿宋"/>
                <w:sz w:val="32"/>
                <w:szCs w:val="32"/>
              </w:rPr>
              <w:t>mg/m</w:t>
            </w:r>
            <w:r>
              <w:rPr>
                <w:rFonts w:hint="eastAsia" w:ascii="仿宋" w:hAnsi="仿宋" w:eastAsia="仿宋" w:cs="仿宋"/>
                <w:sz w:val="32"/>
                <w:szCs w:val="32"/>
                <w:vertAlign w:val="superscript"/>
              </w:rPr>
              <w:t>3</w:t>
            </w:r>
            <w:r>
              <w:rPr>
                <w:rFonts w:hint="eastAsia" w:ascii="仿宋" w:hAnsi="仿宋" w:eastAsia="仿宋" w:cs="仿宋"/>
                <w:sz w:val="32"/>
                <w:szCs w:val="32"/>
              </w:rPr>
              <w:t>排放标准，净化后的油烟经过专用烟道由屋顶排放。</w:t>
            </w:r>
          </w:p>
          <w:p w14:paraId="7CB6FC7E">
            <w:pPr>
              <w:autoSpaceDN w:val="0"/>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（二）水污染防治措施</w:t>
            </w:r>
          </w:p>
          <w:p w14:paraId="24638A9C">
            <w:pPr>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洗煤废水循环使用，不外排；洗浴废水</w:t>
            </w:r>
            <w:r>
              <w:rPr>
                <w:rFonts w:hint="eastAsia" w:ascii="仿宋" w:hAnsi="仿宋" w:eastAsia="仿宋" w:cs="仿宋"/>
                <w:sz w:val="32"/>
                <w:szCs w:val="32"/>
                <w:lang w:val="en-US" w:eastAsia="zh-CN"/>
              </w:rPr>
              <w:t>及</w:t>
            </w:r>
            <w:r>
              <w:rPr>
                <w:rFonts w:hint="eastAsia" w:ascii="仿宋" w:hAnsi="仿宋" w:eastAsia="仿宋" w:cs="仿宋"/>
                <w:sz w:val="32"/>
                <w:szCs w:val="32"/>
              </w:rPr>
              <w:t>生活污水排入厂区内防渗旱厕，定期清掏，外运堆肥；食堂废水经隔油池</w:t>
            </w:r>
            <w:r>
              <w:rPr>
                <w:rFonts w:hint="eastAsia" w:ascii="仿宋" w:hAnsi="仿宋" w:eastAsia="仿宋" w:cs="仿宋"/>
                <w:sz w:val="32"/>
                <w:szCs w:val="32"/>
                <w:lang w:val="en-US" w:eastAsia="zh-CN"/>
              </w:rPr>
              <w:t>处理后，入</w:t>
            </w:r>
            <w:r>
              <w:rPr>
                <w:rFonts w:hint="eastAsia" w:ascii="仿宋" w:hAnsi="仿宋" w:eastAsia="仿宋" w:cs="仿宋"/>
                <w:sz w:val="32"/>
                <w:szCs w:val="32"/>
              </w:rPr>
              <w:t>厂区内防渗旱厕，定期清掏，外运堆肥</w:t>
            </w:r>
            <w:r>
              <w:rPr>
                <w:rFonts w:hint="eastAsia" w:ascii="仿宋" w:hAnsi="仿宋" w:eastAsia="仿宋" w:cs="仿宋"/>
                <w:sz w:val="32"/>
                <w:szCs w:val="32"/>
                <w:lang w:eastAsia="zh-CN"/>
              </w:rPr>
              <w:t>；</w:t>
            </w:r>
            <w:r>
              <w:rPr>
                <w:rFonts w:hint="eastAsia" w:ascii="仿宋" w:hAnsi="仿宋" w:eastAsia="仿宋" w:cs="仿宋"/>
                <w:sz w:val="32"/>
                <w:szCs w:val="32"/>
              </w:rPr>
              <w:t>初期雨水</w:t>
            </w:r>
            <w:r>
              <w:rPr>
                <w:rFonts w:hint="eastAsia" w:ascii="仿宋" w:hAnsi="仿宋" w:eastAsia="仿宋" w:cs="仿宋"/>
                <w:sz w:val="32"/>
                <w:szCs w:val="32"/>
                <w:lang w:val="en-US" w:eastAsia="zh-CN"/>
              </w:rPr>
              <w:t>进入</w:t>
            </w:r>
            <w:r>
              <w:rPr>
                <w:rFonts w:hint="eastAsia" w:ascii="仿宋" w:hAnsi="仿宋" w:eastAsia="仿宋" w:cs="仿宋"/>
                <w:sz w:val="32"/>
                <w:szCs w:val="32"/>
              </w:rPr>
              <w:t>初期雨水收集池，沉淀后用于</w:t>
            </w:r>
            <w:r>
              <w:rPr>
                <w:rFonts w:hint="eastAsia" w:ascii="仿宋" w:hAnsi="仿宋" w:eastAsia="仿宋" w:cs="仿宋"/>
                <w:sz w:val="32"/>
                <w:szCs w:val="32"/>
                <w:lang w:val="en-US" w:eastAsia="zh-CN"/>
              </w:rPr>
              <w:t>原煤增湿以及装卸、上料降尘</w:t>
            </w:r>
            <w:r>
              <w:rPr>
                <w:rFonts w:hint="eastAsia" w:ascii="仿宋" w:hAnsi="仿宋" w:eastAsia="仿宋" w:cs="仿宋"/>
                <w:sz w:val="32"/>
                <w:szCs w:val="32"/>
              </w:rPr>
              <w:t>；锅炉运行产生的软化处理废水、锅炉排污水用于</w:t>
            </w:r>
            <w:r>
              <w:rPr>
                <w:rFonts w:hint="eastAsia" w:ascii="仿宋" w:hAnsi="仿宋" w:eastAsia="仿宋" w:cs="仿宋"/>
                <w:sz w:val="32"/>
                <w:szCs w:val="32"/>
                <w:lang w:val="en-US" w:eastAsia="zh-CN"/>
              </w:rPr>
              <w:t>原煤增湿及装卸、上料降尘</w:t>
            </w:r>
            <w:r>
              <w:rPr>
                <w:rFonts w:hint="eastAsia" w:ascii="仿宋" w:hAnsi="仿宋" w:eastAsia="仿宋" w:cs="仿宋"/>
                <w:sz w:val="32"/>
                <w:szCs w:val="32"/>
              </w:rPr>
              <w:t>，不外排。</w:t>
            </w:r>
          </w:p>
          <w:p w14:paraId="687A4235">
            <w:pPr>
              <w:autoSpaceDN w:val="0"/>
              <w:adjustRightInd w:val="0"/>
              <w:snapToGrid w:val="0"/>
              <w:spacing w:line="360" w:lineRule="auto"/>
              <w:ind w:firstLine="640" w:firstLineChars="200"/>
              <w:rPr>
                <w:rFonts w:hint="eastAsia" w:ascii="仿宋" w:hAnsi="仿宋" w:eastAsia="仿宋" w:cs="仿宋"/>
                <w:sz w:val="32"/>
                <w:szCs w:val="32"/>
              </w:rPr>
            </w:pPr>
            <w:r>
              <w:rPr>
                <w:rFonts w:hint="eastAsia" w:ascii="楷体" w:hAnsi="楷体" w:eastAsia="楷体" w:cs="楷体"/>
                <w:sz w:val="32"/>
                <w:szCs w:val="32"/>
              </w:rPr>
              <w:t>（三）噪声污染防治措施</w:t>
            </w:r>
            <w:r>
              <w:rPr>
                <w:rFonts w:hint="eastAsia" w:ascii="仿宋" w:hAnsi="仿宋" w:eastAsia="仿宋" w:cs="仿宋"/>
                <w:sz w:val="32"/>
                <w:szCs w:val="32"/>
              </w:rPr>
              <w:t xml:space="preserve"> </w:t>
            </w:r>
          </w:p>
          <w:p w14:paraId="52389BE6">
            <w:pPr>
              <w:autoSpaceDN w:val="0"/>
              <w:adjustRightInd w:val="0"/>
              <w:snapToGrid w:val="0"/>
              <w:spacing w:line="360" w:lineRule="auto"/>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通过隔声、减振管理，经预测厂界噪声能够满足《工业企业厂界环境噪声排放标准》中（GB12348-2008）1类标准要求。</w:t>
            </w:r>
          </w:p>
          <w:p w14:paraId="5AC30258">
            <w:pPr>
              <w:autoSpaceDN w:val="0"/>
              <w:adjustRightInd w:val="0"/>
              <w:snapToGrid w:val="0"/>
              <w:spacing w:line="360" w:lineRule="auto"/>
              <w:ind w:firstLine="640" w:firstLineChars="200"/>
              <w:rPr>
                <w:rFonts w:hint="eastAsia" w:ascii="仿宋" w:hAnsi="仿宋" w:eastAsia="仿宋" w:cs="仿宋"/>
                <w:sz w:val="32"/>
                <w:szCs w:val="32"/>
              </w:rPr>
            </w:pPr>
            <w:r>
              <w:rPr>
                <w:rFonts w:hint="eastAsia" w:ascii="楷体" w:hAnsi="楷体" w:eastAsia="楷体" w:cs="楷体"/>
                <w:sz w:val="32"/>
                <w:szCs w:val="32"/>
              </w:rPr>
              <w:t>（四）固体废物治理</w:t>
            </w:r>
          </w:p>
          <w:p w14:paraId="00A179E2">
            <w:pPr>
              <w:autoSpaceDN w:val="0"/>
              <w:adjustRightInd w:val="0"/>
              <w:snapToGrid w:val="0"/>
              <w:spacing w:line="360" w:lineRule="auto"/>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矸石集中收集，外售给建材企业综合利用；煤泥集中收集，外售综合利用；布袋除尘器收尘，外售综合利用；废布袋，统一收集后外售；生活垃圾统一收集后定期由市政部门清运；厨余垃圾统一收集后定期由市政部门清运；废机油暂存于危险废物贮存库，定期交由资质单位处置；含油抹布、手套暂存于危险废物贮存库，定期交由资质单位处置。</w:t>
            </w:r>
          </w:p>
          <w:p w14:paraId="25D6AC53">
            <w:pPr>
              <w:autoSpaceDN w:val="0"/>
              <w:adjustRightInd w:val="0"/>
              <w:snapToGrid w:val="0"/>
              <w:spacing w:line="360" w:lineRule="auto"/>
              <w:ind w:firstLine="640" w:firstLineChars="200"/>
              <w:rPr>
                <w:rFonts w:hint="eastAsia" w:ascii="楷体" w:hAnsi="楷体" w:eastAsia="楷体" w:cs="楷体"/>
                <w:sz w:val="32"/>
                <w:szCs w:val="32"/>
                <w:lang w:val="zh-CN"/>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w:t>
            </w:r>
            <w:r>
              <w:rPr>
                <w:rFonts w:hint="eastAsia" w:ascii="楷体" w:hAnsi="楷体" w:eastAsia="楷体" w:cs="楷体"/>
                <w:sz w:val="32"/>
                <w:szCs w:val="32"/>
                <w:lang w:val="zh-CN"/>
              </w:rPr>
              <w:t>地下水影响分析与污染防治措施</w:t>
            </w:r>
          </w:p>
          <w:p w14:paraId="1E7698D5">
            <w:pPr>
              <w:autoSpaceDN w:val="0"/>
              <w:adjustRightInd w:val="0"/>
              <w:snapToGrid w:val="0"/>
              <w:spacing w:line="360" w:lineRule="auto"/>
              <w:ind w:firstLine="800" w:firstLineChars="25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本项目采取源头控制、分区防控、污染监控、应急响应等污染防控对策。本项目地</w:t>
            </w:r>
            <w:r>
              <w:rPr>
                <w:rFonts w:hint="eastAsia" w:ascii="仿宋" w:hAnsi="仿宋" w:eastAsia="仿宋" w:cs="仿宋"/>
                <w:sz w:val="32"/>
                <w:szCs w:val="32"/>
                <w:lang w:val="zh-CN" w:eastAsia="zh-CN"/>
              </w:rPr>
              <w:t>下水污染防渗分区包括重点防渗区、一般防渗区、简单防渗区。</w:t>
            </w:r>
          </w:p>
          <w:p w14:paraId="6450D616">
            <w:pPr>
              <w:autoSpaceDN w:val="0"/>
              <w:adjustRightInd w:val="0"/>
              <w:snapToGrid w:val="0"/>
              <w:spacing w:line="360" w:lineRule="auto"/>
              <w:ind w:firstLine="800" w:firstLineChars="25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1、重点防渗区</w:t>
            </w:r>
          </w:p>
          <w:p w14:paraId="11EF5E52">
            <w:pPr>
              <w:autoSpaceDN w:val="0"/>
              <w:adjustRightInd w:val="0"/>
              <w:snapToGrid w:val="0"/>
              <w:spacing w:line="360" w:lineRule="auto"/>
              <w:ind w:firstLine="800" w:firstLineChars="25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危险废物贮存库</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浮选剂暂存间（</w:t>
            </w:r>
            <w:r>
              <w:rPr>
                <w:rFonts w:hint="eastAsia" w:ascii="仿宋" w:hAnsi="仿宋" w:eastAsia="仿宋" w:cs="仿宋"/>
                <w:sz w:val="32"/>
                <w:szCs w:val="32"/>
                <w:lang w:val="en-US" w:eastAsia="zh-CN"/>
              </w:rPr>
              <w:t>储油罐</w:t>
            </w:r>
            <w:r>
              <w:rPr>
                <w:rFonts w:hint="eastAsia" w:ascii="仿宋" w:hAnsi="仿宋" w:eastAsia="仿宋" w:cs="仿宋"/>
                <w:sz w:val="32"/>
                <w:szCs w:val="32"/>
                <w:lang w:val="zh-CN" w:eastAsia="zh-CN"/>
              </w:rPr>
              <w:t>）污染物泄露后不能够及时发现，污染控制难易程度为难，采取重点防渗措施。采用防渗层为水泥面硬化，铺设2mm厚高密度聚乙烯，或至少2mm厚的渗透系数≤10</w:t>
            </w:r>
            <w:r>
              <w:rPr>
                <w:rFonts w:hint="eastAsia" w:ascii="仿宋" w:hAnsi="仿宋" w:eastAsia="仿宋" w:cs="仿宋"/>
                <w:sz w:val="32"/>
                <w:szCs w:val="32"/>
                <w:vertAlign w:val="superscript"/>
                <w:lang w:val="zh-CN" w:eastAsia="zh-CN"/>
              </w:rPr>
              <w:t>-10</w:t>
            </w:r>
            <w:r>
              <w:rPr>
                <w:rFonts w:hint="eastAsia" w:ascii="仿宋" w:hAnsi="仿宋" w:eastAsia="仿宋" w:cs="仿宋"/>
                <w:sz w:val="32"/>
                <w:szCs w:val="32"/>
                <w:lang w:val="zh-CN" w:eastAsia="zh-CN"/>
              </w:rPr>
              <w:t>cm/s的其它人工材料，符合《环境影响评价技术导则地下水环境》（HJ610-2016）重点防渗区要求，或其他防渗性能等效的材料。</w:t>
            </w:r>
            <w:r>
              <w:rPr>
                <w:rFonts w:hint="eastAsia" w:ascii="仿宋" w:hAnsi="仿宋" w:eastAsia="仿宋" w:cs="仿宋"/>
                <w:sz w:val="32"/>
                <w:szCs w:val="32"/>
                <w:lang w:val="en-US" w:eastAsia="zh-CN"/>
              </w:rPr>
              <w:t>本项目储罐为地上储罐，</w:t>
            </w:r>
            <w:r>
              <w:rPr>
                <w:rFonts w:hint="eastAsia" w:ascii="仿宋" w:hAnsi="仿宋" w:eastAsia="仿宋" w:cs="仿宋"/>
                <w:sz w:val="32"/>
                <w:szCs w:val="32"/>
                <w:lang w:val="zh-CN" w:eastAsia="zh-CN"/>
              </w:rPr>
              <w:t>柴油储罐区设置围堰，围堰高度为0.5m，容积为</w:t>
            </w:r>
            <w:r>
              <w:rPr>
                <w:rFonts w:hint="eastAsia" w:ascii="仿宋" w:hAnsi="仿宋" w:eastAsia="仿宋" w:cs="仿宋"/>
                <w:sz w:val="32"/>
                <w:szCs w:val="32"/>
                <w:lang w:val="en-US" w:eastAsia="zh-CN"/>
              </w:rPr>
              <w:t>15</w:t>
            </w:r>
            <w:r>
              <w:rPr>
                <w:rFonts w:hint="eastAsia" w:ascii="仿宋" w:hAnsi="仿宋" w:eastAsia="仿宋" w:cs="仿宋"/>
                <w:sz w:val="32"/>
                <w:szCs w:val="32"/>
                <w:lang w:val="zh-CN" w:eastAsia="zh-CN"/>
              </w:rPr>
              <w:t>m</w:t>
            </w:r>
            <w:r>
              <w:rPr>
                <w:rFonts w:hint="eastAsia" w:ascii="仿宋" w:hAnsi="仿宋" w:eastAsia="仿宋" w:cs="仿宋"/>
                <w:sz w:val="32"/>
                <w:szCs w:val="32"/>
                <w:vertAlign w:val="superscript"/>
                <w:lang w:val="zh-CN" w:eastAsia="zh-CN"/>
              </w:rPr>
              <w:t>3</w:t>
            </w:r>
            <w:r>
              <w:rPr>
                <w:rFonts w:hint="eastAsia" w:ascii="仿宋" w:hAnsi="仿宋" w:eastAsia="仿宋" w:cs="仿宋"/>
                <w:sz w:val="32"/>
                <w:szCs w:val="32"/>
                <w:lang w:val="zh-CN" w:eastAsia="zh-CN"/>
              </w:rPr>
              <w:t>，贮存设施或贮存分区内地面、墙面裙脚、堵截泄露的围堰、接触危险废物的隔板和墙体等应采用坚固的材料建造，表面无裂缝。防渗技术要求符合《危险废物贮存污染控制标准》（GB18597-2023）中有关防渗要求。</w:t>
            </w:r>
          </w:p>
          <w:p w14:paraId="2DB2E599">
            <w:pPr>
              <w:autoSpaceDN w:val="0"/>
              <w:adjustRightInd w:val="0"/>
              <w:snapToGrid w:val="0"/>
              <w:spacing w:line="360" w:lineRule="auto"/>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2、一般防渗区</w:t>
            </w:r>
          </w:p>
          <w:p w14:paraId="3176CE7D">
            <w:pPr>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产车间、产品煤库、矸石中转库、煤泥库、锅炉房、循环水池、事故池、初期雨水池采取一般防渗措施。采用抗渗钢纤维混凝土面，层中掺水泥基透结晶型防水剂，其下粘土夯实，单位面积防渗能力达到等效黏土防渗层Mb≥1.5m，渗透系数≤1×10</w:t>
            </w:r>
            <w:r>
              <w:rPr>
                <w:rFonts w:hint="eastAsia" w:ascii="仿宋" w:hAnsi="仿宋" w:eastAsia="仿宋" w:cs="仿宋"/>
                <w:sz w:val="32"/>
                <w:szCs w:val="32"/>
                <w:vertAlign w:val="superscript"/>
                <w:lang w:val="en-US" w:eastAsia="zh-CN"/>
              </w:rPr>
              <w:t>-7</w:t>
            </w:r>
            <w:r>
              <w:rPr>
                <w:rFonts w:hint="eastAsia" w:ascii="仿宋" w:hAnsi="仿宋" w:eastAsia="仿宋" w:cs="仿宋"/>
                <w:sz w:val="32"/>
                <w:szCs w:val="32"/>
                <w:lang w:val="en-US" w:eastAsia="zh-CN"/>
              </w:rPr>
              <w:t>cm/s，符合《环境影响评价技术导则地下水环境》（HJ610-2016）一般防渗区要求。</w:t>
            </w:r>
          </w:p>
          <w:p w14:paraId="530ABBD6">
            <w:pPr>
              <w:autoSpaceDN w:val="0"/>
              <w:adjustRightInd w:val="0"/>
              <w:snapToGrid w:val="0"/>
              <w:spacing w:line="360" w:lineRule="auto"/>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3、简单防渗区</w:t>
            </w:r>
          </w:p>
          <w:p w14:paraId="225E8F1E">
            <w:pPr>
              <w:autoSpaceDN w:val="0"/>
              <w:adjustRightInd w:val="0"/>
              <w:snapToGrid w:val="0"/>
              <w:spacing w:line="360" w:lineRule="auto"/>
              <w:ind w:firstLine="800" w:firstLineChars="250"/>
              <w:rPr>
                <w:rFonts w:hint="eastAsia" w:ascii="Times New Roman" w:hAnsi="Times New Roman" w:eastAsia="仿宋"/>
                <w:color w:val="auto"/>
                <w:sz w:val="24"/>
                <w:lang w:bidi="ar"/>
              </w:rPr>
            </w:pPr>
            <w:r>
              <w:rPr>
                <w:rFonts w:hint="eastAsia" w:ascii="仿宋" w:hAnsi="仿宋" w:eastAsia="仿宋" w:cs="仿宋"/>
                <w:sz w:val="32"/>
                <w:szCs w:val="32"/>
                <w:lang w:val="en-GB" w:eastAsia="zh-CN"/>
              </w:rPr>
              <w:t>厂区内办公室和厂区路面采取简单防渗措施，防渗层为水泥地面硬化，符合《环境影响评价技术导则 地下水环境》（HJ 610-2016）简单防渗区要求。</w:t>
            </w:r>
          </w:p>
          <w:p w14:paraId="51D944A2">
            <w:pPr>
              <w:autoSpaceDN w:val="0"/>
              <w:adjustRightInd w:val="0"/>
              <w:snapToGrid w:val="0"/>
              <w:spacing w:line="360" w:lineRule="auto"/>
              <w:ind w:firstLine="640" w:firstLineChars="200"/>
              <w:rPr>
                <w:rFonts w:hint="eastAsia" w:ascii="楷体" w:hAnsi="楷体" w:eastAsia="楷体" w:cs="楷体"/>
                <w:sz w:val="32"/>
                <w:szCs w:val="32"/>
                <w:lang w:val="zh-CN"/>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w:t>
            </w:r>
            <w:r>
              <w:rPr>
                <w:rFonts w:hint="eastAsia" w:ascii="楷体" w:hAnsi="楷体" w:eastAsia="楷体" w:cs="楷体"/>
                <w:sz w:val="32"/>
                <w:szCs w:val="32"/>
                <w:lang w:val="zh-CN"/>
              </w:rPr>
              <w:t>土壤环境影响分析与污染防治措施</w:t>
            </w:r>
          </w:p>
          <w:p w14:paraId="7DF7C7E9">
            <w:pPr>
              <w:autoSpaceDN w:val="0"/>
              <w:adjustRightInd w:val="0"/>
              <w:snapToGrid w:val="0"/>
              <w:spacing w:line="360" w:lineRule="auto"/>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本项目应保证其环保治理设施正常运转，尽可能避免对区域土壤环境产生影响。为防止事故状态对土壤的污染，厂区应采取如下措施：</w:t>
            </w:r>
          </w:p>
          <w:p w14:paraId="30BD2742">
            <w:pPr>
              <w:autoSpaceDN w:val="0"/>
              <w:adjustRightInd w:val="0"/>
              <w:snapToGrid w:val="0"/>
              <w:spacing w:line="360" w:lineRule="auto"/>
              <w:ind w:firstLine="800" w:firstLineChars="25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1、控制本项目“三废”的排放。大力推广闭路循环、清洁工艺，以减少污染物质，控制污染物排放的数量和浓度，使之符合排放标准和总量要求。</w:t>
            </w:r>
          </w:p>
          <w:p w14:paraId="5D7CD282">
            <w:pPr>
              <w:autoSpaceDN w:val="0"/>
              <w:adjustRightInd w:val="0"/>
              <w:snapToGrid w:val="0"/>
              <w:spacing w:line="360" w:lineRule="auto"/>
              <w:ind w:firstLine="800" w:firstLineChars="25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为了防止项目对当地的土壤产生不利影响，建设单位对各储水构筑物采取防渗措施，具体如下：对厂区的办公室和厂区路面等进行硬化处理，防止废水发生“跑、冒、滴、漏”现象时污染地下水环境，防渗旱厕、循环水池、初期雨水池、生产车间等均采取一般防渗措施，以保护厂址附近的土壤。</w:t>
            </w:r>
          </w:p>
          <w:p w14:paraId="4F450956">
            <w:pPr>
              <w:autoSpaceDN w:val="0"/>
              <w:adjustRightInd w:val="0"/>
              <w:snapToGrid w:val="0"/>
              <w:spacing w:line="360" w:lineRule="auto"/>
              <w:ind w:firstLine="800" w:firstLineChars="250"/>
              <w:rPr>
                <w:rFonts w:hint="eastAsia"/>
                <w:lang w:val="en-US" w:eastAsia="zh-CN"/>
              </w:rPr>
            </w:pPr>
            <w:r>
              <w:rPr>
                <w:rFonts w:hint="eastAsia" w:ascii="仿宋" w:hAnsi="仿宋" w:eastAsia="仿宋" w:cs="仿宋"/>
                <w:sz w:val="32"/>
                <w:szCs w:val="32"/>
                <w:lang w:val="zh-CN" w:eastAsia="zh-CN"/>
              </w:rPr>
              <w:t>3、加强占地周围的绿化，种植具有较强吸附能力的植物为主。</w:t>
            </w:r>
          </w:p>
          <w:p w14:paraId="622EC512">
            <w:pPr>
              <w:autoSpaceDN w:val="0"/>
              <w:adjustRightInd w:val="0"/>
              <w:snapToGrid w:val="0"/>
              <w:spacing w:line="360" w:lineRule="auto"/>
              <w:ind w:firstLine="640" w:firstLineChars="200"/>
              <w:rPr>
                <w:rFonts w:hint="eastAsia" w:ascii="仿宋" w:hAnsi="仿宋" w:eastAsia="仿宋" w:cs="仿宋"/>
                <w:sz w:val="32"/>
                <w:szCs w:val="32"/>
              </w:rPr>
            </w:pPr>
            <w:r>
              <w:rPr>
                <w:rFonts w:ascii="黑体" w:hAnsi="黑体" w:eastAsia="黑体" w:cs="黑体"/>
                <w:sz w:val="32"/>
                <w:szCs w:val="32"/>
              </w:rPr>
              <w:t>三</w:t>
            </w:r>
            <w:r>
              <w:rPr>
                <w:rFonts w:hint="eastAsia" w:ascii="黑体" w:hAnsi="黑体" w:eastAsia="黑体" w:cs="黑体"/>
                <w:sz w:val="32"/>
                <w:szCs w:val="32"/>
              </w:rPr>
              <w:t>、环境风险防范措施</w:t>
            </w:r>
          </w:p>
          <w:p w14:paraId="64B31EC7">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对照相关文件要求，编写突发环境事件应急预案，健全三级防控体系要求进行三级防控，并在相应的行政主管部门进行备案，切实加以落实预案、三级防控体系要求。</w:t>
            </w:r>
          </w:p>
        </w:tc>
      </w:tr>
      <w:tr w14:paraId="338CF561">
        <w:tblPrEx>
          <w:tblCellMar>
            <w:top w:w="0" w:type="dxa"/>
            <w:left w:w="0" w:type="dxa"/>
            <w:bottom w:w="0" w:type="dxa"/>
            <w:right w:w="0" w:type="dxa"/>
          </w:tblCellMar>
        </w:tblPrEx>
        <w:trPr>
          <w:trHeight w:val="1223"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622FFE53">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公众参与</w:t>
            </w:r>
          </w:p>
          <w:p w14:paraId="10DB98C2">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情况</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626CB4BD">
            <w:pPr>
              <w:spacing w:line="0" w:lineRule="atLeast"/>
              <w:jc w:val="both"/>
              <w:rPr>
                <w:rFonts w:hint="eastAsia" w:ascii="仿宋" w:hAnsi="仿宋" w:eastAsia="仿宋" w:cs="仿宋"/>
                <w:color w:val="auto"/>
                <w:sz w:val="32"/>
                <w:szCs w:val="32"/>
                <w:lang w:eastAsia="zh-CN"/>
              </w:rPr>
            </w:pPr>
          </w:p>
        </w:tc>
      </w:tr>
      <w:tr w14:paraId="0AF507B9">
        <w:tblPrEx>
          <w:tblCellMar>
            <w:top w:w="0" w:type="dxa"/>
            <w:left w:w="0" w:type="dxa"/>
            <w:bottom w:w="0" w:type="dxa"/>
            <w:right w:w="0" w:type="dxa"/>
          </w:tblCellMar>
        </w:tblPrEx>
        <w:trPr>
          <w:trHeight w:val="310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556AFF29">
            <w:pPr>
              <w:pStyle w:val="10"/>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建设单位或地方政府所作出的相应环境保护措施承诺文件</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4A3343A8">
            <w:pPr>
              <w:spacing w:line="0" w:lineRule="atLeast"/>
              <w:jc w:val="center"/>
              <w:rPr>
                <w:rFonts w:hint="eastAsia" w:ascii="仿宋" w:hAnsi="仿宋" w:eastAsia="仿宋" w:cs="仿宋"/>
                <w:color w:val="auto"/>
                <w:sz w:val="32"/>
                <w:szCs w:val="32"/>
              </w:rPr>
            </w:pPr>
          </w:p>
        </w:tc>
      </w:tr>
      <w:tr w14:paraId="4A377794">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78B59D31">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拟批复</w:t>
            </w:r>
          </w:p>
          <w:p w14:paraId="18DEBE22">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意见</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2BA9943E">
            <w:pPr>
              <w:spacing w:line="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同意</w:t>
            </w:r>
          </w:p>
        </w:tc>
      </w:tr>
    </w:tbl>
    <w:p w14:paraId="30DD81B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zdhNDY4ZTA4YTIxNDg5ZTY4ZTZkZGYxMGE5MmIifQ=="/>
  </w:docVars>
  <w:rsids>
    <w:rsidRoot w:val="37171A61"/>
    <w:rsid w:val="041C5514"/>
    <w:rsid w:val="049C7DEF"/>
    <w:rsid w:val="06DB3CE0"/>
    <w:rsid w:val="15AA1C40"/>
    <w:rsid w:val="16280664"/>
    <w:rsid w:val="17AC6144"/>
    <w:rsid w:val="1A2E4822"/>
    <w:rsid w:val="1A6A36E7"/>
    <w:rsid w:val="1CB9558B"/>
    <w:rsid w:val="1F1E159F"/>
    <w:rsid w:val="20F61668"/>
    <w:rsid w:val="21C961A7"/>
    <w:rsid w:val="21EA3B0F"/>
    <w:rsid w:val="24D34D10"/>
    <w:rsid w:val="26926505"/>
    <w:rsid w:val="28F31BA1"/>
    <w:rsid w:val="2B4F6B69"/>
    <w:rsid w:val="2B8B12B1"/>
    <w:rsid w:val="2EF75A9F"/>
    <w:rsid w:val="30930421"/>
    <w:rsid w:val="37171A61"/>
    <w:rsid w:val="372C6B38"/>
    <w:rsid w:val="372E4027"/>
    <w:rsid w:val="381274A5"/>
    <w:rsid w:val="3E5B01E6"/>
    <w:rsid w:val="40E63C12"/>
    <w:rsid w:val="40F215D8"/>
    <w:rsid w:val="415428DD"/>
    <w:rsid w:val="41782A6F"/>
    <w:rsid w:val="47743CD8"/>
    <w:rsid w:val="491570B1"/>
    <w:rsid w:val="4EEF44CD"/>
    <w:rsid w:val="55BB38E7"/>
    <w:rsid w:val="57345FA6"/>
    <w:rsid w:val="57C24474"/>
    <w:rsid w:val="58B7229A"/>
    <w:rsid w:val="58DD4C54"/>
    <w:rsid w:val="594976BD"/>
    <w:rsid w:val="5BCD355F"/>
    <w:rsid w:val="5D105DFA"/>
    <w:rsid w:val="5FEA4540"/>
    <w:rsid w:val="664B39FF"/>
    <w:rsid w:val="67B13D35"/>
    <w:rsid w:val="6B4948EF"/>
    <w:rsid w:val="6C1F27DA"/>
    <w:rsid w:val="6DD8026E"/>
    <w:rsid w:val="6E6733A0"/>
    <w:rsid w:val="71FB452B"/>
    <w:rsid w:val="75E96A79"/>
    <w:rsid w:val="7CBB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4"/>
    <w:basedOn w:val="1"/>
    <w:next w:val="1"/>
    <w:autoRedefine/>
    <w:qFormat/>
    <w:uiPriority w:val="0"/>
    <w:pPr>
      <w:keepNext/>
      <w:keepLines/>
      <w:snapToGrid w:val="0"/>
      <w:spacing w:line="360" w:lineRule="auto"/>
      <w:jc w:val="left"/>
      <w:outlineLvl w:val="3"/>
    </w:pPr>
    <w:rPr>
      <w:rFonts w:ascii="Arial" w:hAnsi="Arial"/>
      <w:bCs/>
      <w:sz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after="120"/>
      <w:ind w:firstLine="420" w:firstLineChars="100"/>
    </w:pPr>
  </w:style>
  <w:style w:type="paragraph" w:styleId="3">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5">
    <w:name w:val="table of authorities"/>
    <w:basedOn w:val="1"/>
    <w:next w:val="1"/>
    <w:autoRedefine/>
    <w:qFormat/>
    <w:uiPriority w:val="0"/>
    <w:pPr>
      <w:spacing w:line="360" w:lineRule="auto"/>
      <w:ind w:left="420" w:leftChars="200" w:firstLine="640" w:firstLineChars="200"/>
    </w:pPr>
    <w:rPr>
      <w:sz w:val="24"/>
      <w:szCs w:val="24"/>
    </w:rPr>
  </w:style>
  <w:style w:type="paragraph" w:styleId="6">
    <w:name w:val="Body Text Indent 2"/>
    <w:basedOn w:val="1"/>
    <w:next w:val="1"/>
    <w:qFormat/>
    <w:uiPriority w:val="0"/>
    <w:pPr>
      <w:spacing w:after="120" w:line="480" w:lineRule="auto"/>
      <w:ind w:left="420" w:leftChars="200"/>
    </w:pPr>
  </w:style>
  <w:style w:type="paragraph" w:styleId="7">
    <w:name w:val="Balloon Text"/>
    <w:basedOn w:val="1"/>
    <w:autoRedefine/>
    <w:qFormat/>
    <w:uiPriority w:val="99"/>
    <w:rPr>
      <w:rFonts w:ascii="Calibri" w:hAnsi="Calibri"/>
      <w:color w:val="000000"/>
      <w:sz w:val="18"/>
      <w:szCs w:val="18"/>
    </w:rPr>
  </w:style>
  <w:style w:type="paragraph" w:styleId="8">
    <w:name w:val="toc 1"/>
    <w:basedOn w:val="1"/>
    <w:next w:val="1"/>
    <w:qFormat/>
    <w:uiPriority w:val="39"/>
    <w:rPr>
      <w:szCs w:val="24"/>
    </w:rPr>
  </w:style>
  <w:style w:type="paragraph" w:styleId="9">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10">
    <w:name w:val="Normal (Web)"/>
    <w:basedOn w:val="1"/>
    <w:autoRedefine/>
    <w:qFormat/>
    <w:uiPriority w:val="0"/>
    <w:pPr>
      <w:spacing w:before="100" w:beforeAutospacing="1" w:after="100" w:afterAutospacing="1"/>
      <w:jc w:val="left"/>
    </w:pPr>
    <w:rPr>
      <w:kern w:val="0"/>
      <w:sz w:val="24"/>
      <w:szCs w:val="24"/>
    </w:rPr>
  </w:style>
  <w:style w:type="paragraph" w:styleId="11">
    <w:name w:val="Title"/>
    <w:basedOn w:val="1"/>
    <w:next w:val="1"/>
    <w:autoRedefine/>
    <w:qFormat/>
    <w:uiPriority w:val="10"/>
    <w:pPr>
      <w:widowControl w:val="0"/>
      <w:spacing w:before="120" w:beforeLines="0" w:after="120" w:afterLines="0"/>
      <w:ind w:firstLine="0" w:firstLineChars="0"/>
      <w:outlineLvl w:val="0"/>
    </w:pPr>
    <w:rPr>
      <w:rFonts w:ascii="Cambria" w:hAnsi="Cambria" w:cs="Times New Roman"/>
      <w:b/>
      <w:bCs/>
      <w:sz w:val="32"/>
      <w:szCs w:val="32"/>
    </w:rPr>
  </w:style>
  <w:style w:type="paragraph" w:customStyle="1" w:styleId="14">
    <w:name w:val="Default"/>
    <w:basedOn w:val="15"/>
    <w:next w:val="1"/>
    <w:autoRedefine/>
    <w:qFormat/>
    <w:uiPriority w:val="0"/>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15">
    <w:name w:val="纯文本1"/>
    <w:basedOn w:val="1"/>
    <w:autoRedefine/>
    <w:qFormat/>
    <w:uiPriority w:val="0"/>
    <w:rPr>
      <w:rFonts w:hint="eastAsia" w:ascii="宋体" w:hAnsi="Courier New"/>
      <w:szCs w:val="22"/>
    </w:rPr>
  </w:style>
  <w:style w:type="paragraph" w:customStyle="1" w:styleId="16">
    <w:name w:val="Normal (Web)1"/>
    <w:basedOn w:val="1"/>
    <w:next w:val="17"/>
    <w:autoRedefine/>
    <w:qFormat/>
    <w:uiPriority w:val="0"/>
    <w:pPr>
      <w:widowControl/>
      <w:jc w:val="left"/>
    </w:pPr>
    <w:rPr>
      <w:rFonts w:ascii="宋体"/>
      <w:kern w:val="0"/>
      <w:sz w:val="24"/>
      <w:szCs w:val="21"/>
    </w:rPr>
  </w:style>
  <w:style w:type="paragraph" w:customStyle="1" w:styleId="17">
    <w:name w:val="Date1"/>
    <w:basedOn w:val="1"/>
    <w:next w:val="1"/>
    <w:qFormat/>
    <w:uiPriority w:val="0"/>
    <w:pPr>
      <w:ind w:left="2500" w:leftChars="2500"/>
    </w:pPr>
  </w:style>
  <w:style w:type="paragraph" w:customStyle="1" w:styleId="18">
    <w:name w:val="baby-正文"/>
    <w:basedOn w:val="3"/>
    <w:next w:val="7"/>
    <w:autoRedefine/>
    <w:qFormat/>
    <w:uiPriority w:val="0"/>
    <w:pPr>
      <w:spacing w:line="240" w:lineRule="auto"/>
      <w:ind w:firstLine="0" w:firstLineChars="0"/>
    </w:pPr>
    <w:rPr>
      <w:rFonts w:ascii="仿宋_GB2312" w:hAnsi="宋体"/>
      <w:bCs/>
      <w:kern w:val="2"/>
      <w:sz w:val="30"/>
      <w:szCs w:val="24"/>
      <w:lang w:val="en-US" w:eastAsia="zh-CN"/>
    </w:rPr>
  </w:style>
  <w:style w:type="paragraph" w:customStyle="1" w:styleId="19">
    <w:name w:val="【正文】"/>
    <w:autoRedefine/>
    <w:qFormat/>
    <w:uiPriority w:val="0"/>
    <w:pPr>
      <w:widowControl/>
      <w:spacing w:line="500" w:lineRule="exact"/>
      <w:jc w:val="left"/>
    </w:pPr>
    <w:rPr>
      <w:rFonts w:ascii="宋体" w:hAnsi="Calibri" w:eastAsia="Calibri" w:cs="Times New Roman"/>
      <w:kern w:val="0"/>
      <w:sz w:val="20"/>
      <w:szCs w:val="20"/>
      <w:lang w:val="en-US" w:eastAsia="zh-CN" w:bidi="ar-SA"/>
    </w:rPr>
  </w:style>
  <w:style w:type="paragraph" w:customStyle="1" w:styleId="20">
    <w:name w:val="正文（首行缩进两字） Char"/>
    <w:basedOn w:val="1"/>
    <w:autoRedefine/>
    <w:qFormat/>
    <w:uiPriority w:val="0"/>
    <w:pPr>
      <w:widowControl/>
      <w:spacing w:line="360" w:lineRule="auto"/>
      <w:ind w:firstLine="420"/>
      <w:jc w:val="both"/>
    </w:pPr>
    <w:rPr>
      <w:rFonts w:ascii="Times New Roman" w:eastAsia="宋体"/>
      <w:szCs w:val="20"/>
    </w:rPr>
  </w:style>
  <w:style w:type="paragraph" w:customStyle="1" w:styleId="21">
    <w:name w:val="正文文字缩进1"/>
    <w:basedOn w:val="6"/>
    <w:qFormat/>
    <w:uiPriority w:val="0"/>
    <w:pPr>
      <w:spacing w:after="0" w:line="360" w:lineRule="auto"/>
      <w:ind w:left="0" w:leftChars="0" w:firstLine="560"/>
    </w:pPr>
    <w:rPr>
      <w:rFonts w:ascii="黑体" w:hAnsi="Arial Black" w:eastAsia="黑体"/>
      <w:b/>
      <w:bCs/>
      <w:sz w:val="28"/>
      <w:szCs w:val="20"/>
    </w:rPr>
  </w:style>
  <w:style w:type="paragraph" w:customStyle="1" w:styleId="22">
    <w:name w:val="C首行缩进正文"/>
    <w:basedOn w:val="19"/>
    <w:qFormat/>
    <w:uiPriority w:val="0"/>
    <w:rPr>
      <w:sz w:val="21"/>
    </w:rPr>
  </w:style>
  <w:style w:type="paragraph" w:customStyle="1" w:styleId="23">
    <w:name w:val="正文 + 首行缩进:  2 字符"/>
    <w:basedOn w:val="1"/>
    <w:qFormat/>
    <w:uiPriority w:val="0"/>
    <w:pPr>
      <w:spacing w:line="460" w:lineRule="atLeast"/>
      <w:ind w:firstLine="528"/>
      <w:jc w:val="both"/>
    </w:pPr>
    <w:rPr>
      <w:color w:val="auto"/>
      <w:spacing w:val="12"/>
      <w:szCs w:val="20"/>
    </w:rPr>
  </w:style>
  <w:style w:type="paragraph" w:customStyle="1" w:styleId="24">
    <w:name w:val="11111"/>
    <w:basedOn w:val="1"/>
    <w:next w:val="1"/>
    <w:qFormat/>
    <w:uiPriority w:val="0"/>
    <w:pPr>
      <w:spacing w:line="360" w:lineRule="auto"/>
      <w:ind w:firstLine="200" w:firstLineChars="200"/>
      <w:jc w:val="both"/>
    </w:pPr>
    <w:rPr>
      <w:rFonts w:hAnsi="宋体" w:eastAsia="宋体" w:cs="宋体"/>
      <w:kern w:val="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2977</Words>
  <Characters>3236</Characters>
  <Lines>0</Lines>
  <Paragraphs>0</Paragraphs>
  <TotalTime>2</TotalTime>
  <ScaleCrop>false</ScaleCrop>
  <LinksUpToDate>false</LinksUpToDate>
  <CharactersWithSpaces>3239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2023-12-25T06:12:00Z</dcterms:created>
  <dc:creator>Dawn</dc:creator>
  <cp:lastModifiedBy>Dawn</cp:lastModifiedBy>
  <cp:lastPrinted>2025-07-02T02:12:00Z</cp:lastPrinted>
  <dcterms:modified xsi:type="dcterms:W3CDTF">2025-08-06T00:53:14Z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5F332B595AC24E318A4F1798320B513C_13</vt:lpwstr>
  </property>
  <property fmtid="{D5CDD505-2E9C-101B-9397-08002B2CF9AE}" pid="4" name="KSOTemplateDocerSaveRecord">
    <vt:lpwstr>eyJoZGlkIjoiZDY5NzdhNDY4ZTA4YTIxNDg5ZTY4ZTZkZGYxMGE5MmIiLCJ1c2VySWQiOiI0NDMxNjA1MDUifQ==</vt:lpwstr>
  </property>
</Properties>
</file>